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60EF3">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bookmarkStart w:id="0" w:name="_Hlk185670129"/>
      <w:r>
        <w:rPr>
          <w:rFonts w:hint="eastAsia" w:ascii="方正小标宋_GBK" w:hAnsi="等线" w:eastAsia="方正小标宋_GBK" w:cs="Times New Roman"/>
          <w:sz w:val="36"/>
          <w:szCs w:val="36"/>
          <w:lang w:val="en-US" w:eastAsia="zh-CN"/>
        </w:rPr>
        <w:t>2025年</w:t>
      </w:r>
      <w:r>
        <w:rPr>
          <w:rFonts w:hint="eastAsia" w:ascii="方正小标宋_GBK" w:hAnsi="等线" w:eastAsia="方正小标宋_GBK" w:cs="Times New Roman"/>
          <w:sz w:val="36"/>
          <w:szCs w:val="36"/>
        </w:rPr>
        <w:t>苏州大学食堂伙食物资供应商评分标准</w:t>
      </w:r>
    </w:p>
    <w:p w14:paraId="6DF86E6B">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黑体" w:hAnsi="黑体" w:eastAsia="黑体" w:cs="Times New Roman"/>
          <w:sz w:val="28"/>
          <w:szCs w:val="28"/>
        </w:rPr>
      </w:pPr>
      <w:r>
        <w:rPr>
          <w:rFonts w:hint="eastAsia" w:ascii="黑体" w:hAnsi="黑体" w:eastAsia="黑体" w:cs="Times New Roman"/>
          <w:sz w:val="28"/>
          <w:szCs w:val="28"/>
        </w:rPr>
        <w:t>（适用于标段1：大米、面粉、食用油）</w:t>
      </w:r>
    </w:p>
    <w:p w14:paraId="67EFD15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
          <w:bCs/>
          <w:sz w:val="24"/>
          <w:szCs w:val="24"/>
        </w:rPr>
      </w:pPr>
      <w:r>
        <w:rPr>
          <w:rFonts w:hint="eastAsia" w:ascii="仿宋" w:hAnsi="仿宋" w:eastAsia="仿宋" w:cs="Times New Roman"/>
          <w:bCs/>
          <w:color w:val="000000"/>
          <w:kern w:val="0"/>
          <w:sz w:val="24"/>
          <w:szCs w:val="24"/>
        </w:rPr>
        <w:t>本次招标采用综合评分法，总分为</w:t>
      </w:r>
      <w:r>
        <w:rPr>
          <w:rFonts w:ascii="仿宋" w:hAnsi="仿宋" w:eastAsia="仿宋" w:cs="Times New Roman"/>
          <w:bCs/>
          <w:color w:val="000000"/>
          <w:kern w:val="0"/>
          <w:sz w:val="24"/>
          <w:szCs w:val="24"/>
        </w:rPr>
        <w:t>100</w:t>
      </w:r>
      <w:r>
        <w:rPr>
          <w:rFonts w:hint="eastAsia" w:ascii="仿宋" w:hAnsi="仿宋" w:eastAsia="仿宋" w:cs="Times New Roman"/>
          <w:bCs/>
          <w:color w:val="000000"/>
          <w:kern w:val="0"/>
          <w:sz w:val="24"/>
          <w:szCs w:val="24"/>
        </w:rPr>
        <w:t>分，具体内容如下：</w:t>
      </w:r>
    </w:p>
    <w:p w14:paraId="6EB0FFAC">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一、样品要求</w:t>
      </w:r>
    </w:p>
    <w:p w14:paraId="174D4C9E">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本标段需提供大米、食用油的部分样品。</w:t>
      </w:r>
    </w:p>
    <w:p w14:paraId="0B8108DE">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sz w:val="24"/>
          <w:szCs w:val="24"/>
        </w:rPr>
      </w:pPr>
      <w:r>
        <w:rPr>
          <w:rFonts w:hint="eastAsia" w:ascii="仿宋" w:hAnsi="仿宋" w:eastAsia="仿宋" w:cs="Times New Roman"/>
          <w:b/>
          <w:bCs/>
          <w:sz w:val="24"/>
          <w:szCs w:val="24"/>
        </w:rPr>
        <w:t>样品1大米</w:t>
      </w:r>
      <w:r>
        <w:rPr>
          <w:rFonts w:hint="eastAsia" w:ascii="仿宋" w:hAnsi="仿宋" w:eastAsia="仿宋" w:cs="Times New Roman"/>
          <w:sz w:val="24"/>
          <w:szCs w:val="24"/>
        </w:rPr>
        <w:t>：原包装苏北一级粳米、东北五常长粒香大米各一袋，净含量：5kg/袋。</w:t>
      </w:r>
    </w:p>
    <w:p w14:paraId="703DDA5A">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sz w:val="24"/>
          <w:szCs w:val="24"/>
        </w:rPr>
      </w:pPr>
      <w:r>
        <w:rPr>
          <w:rFonts w:hint="eastAsia" w:ascii="仿宋" w:hAnsi="仿宋" w:eastAsia="仿宋" w:cs="Times New Roman"/>
          <w:b/>
          <w:bCs/>
          <w:sz w:val="24"/>
          <w:szCs w:val="24"/>
        </w:rPr>
        <w:t>样品2食用油</w:t>
      </w:r>
      <w:r>
        <w:rPr>
          <w:rFonts w:hint="eastAsia" w:ascii="仿宋" w:hAnsi="仿宋" w:eastAsia="仿宋" w:cs="Times New Roman"/>
          <w:sz w:val="24"/>
          <w:szCs w:val="24"/>
        </w:rPr>
        <w:t>：原包装非转基因一级大豆油、非转基因一级菜籽油各一桶/瓶，净含量：最小原包装。</w:t>
      </w:r>
    </w:p>
    <w:p w14:paraId="0FEEA74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（1）以上样品原包装标签信息齐全、清晰，包括但不限于产品名称、</w:t>
      </w:r>
      <w:r>
        <w:rPr>
          <w:rFonts w:ascii="仿宋" w:hAnsi="仿宋" w:eastAsia="仿宋" w:cs="Times New Roman"/>
          <w:sz w:val="24"/>
          <w:szCs w:val="24"/>
        </w:rPr>
        <w:t>品牌、规格、型号、保质期</w:t>
      </w:r>
      <w:r>
        <w:rPr>
          <w:rFonts w:hint="eastAsia" w:ascii="仿宋" w:hAnsi="仿宋" w:eastAsia="仿宋" w:cs="Times New Roman"/>
          <w:sz w:val="24"/>
          <w:szCs w:val="24"/>
        </w:rPr>
        <w:t>、营养成分表、配料表、产品标准号、食品生产许可证编号、净含量等</w:t>
      </w:r>
      <w:r>
        <w:rPr>
          <w:rFonts w:ascii="仿宋" w:hAnsi="仿宋" w:eastAsia="仿宋" w:cs="Times New Roman"/>
          <w:sz w:val="24"/>
          <w:szCs w:val="24"/>
        </w:rPr>
        <w:t>。</w:t>
      </w:r>
    </w:p>
    <w:p w14:paraId="51934C7E">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2）样品制作及运输费用由投标单位自行承担。投标样品不予退还，评标过程中会对样品进行拆封、消耗等破坏，由此可能造成的损失由投标单位自行承担。中标单位的样品，由学校留样封存，作为最终验收的参考依据之一，未中标单位样品，由学校自行处理。</w:t>
      </w:r>
    </w:p>
    <w:p w14:paraId="1AEA5C7C">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（3）中标后，中标单位所供产品必须与投标时的样品各方面完全一致（除净含量外）。验收时，如果中标单位实际提供的产品与样品不一致的，学校将不予接受，其造成的一切损失和后果由中标单位承担（</w:t>
      </w:r>
      <w:r>
        <w:rPr>
          <w:rFonts w:hint="eastAsia" w:ascii="仿宋" w:hAnsi="仿宋" w:eastAsia="仿宋" w:cs="Times New Roman"/>
          <w:b/>
          <w:bCs/>
          <w:sz w:val="24"/>
          <w:szCs w:val="24"/>
          <w:u w:val="single"/>
        </w:rPr>
        <w:t>投标文件内须提供承诺书原件并加盖公章</w:t>
      </w:r>
      <w:r>
        <w:rPr>
          <w:rFonts w:hint="eastAsia" w:ascii="仿宋" w:hAnsi="仿宋" w:eastAsia="仿宋" w:cs="Times New Roman"/>
          <w:b/>
          <w:bCs/>
          <w:sz w:val="24"/>
          <w:szCs w:val="24"/>
        </w:rPr>
        <w:t>）。</w:t>
      </w:r>
    </w:p>
    <w:p w14:paraId="2BEACB4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（4）送样</w:t>
      </w:r>
      <w:r>
        <w:rPr>
          <w:rFonts w:hint="eastAsia" w:ascii="仿宋" w:hAnsi="仿宋" w:eastAsia="仿宋" w:cs="Times New Roman"/>
          <w:bCs/>
          <w:sz w:val="24"/>
          <w:szCs w:val="24"/>
          <w:highlight w:val="none"/>
        </w:rPr>
        <w:t>时间：202</w:t>
      </w:r>
      <w:r>
        <w:rPr>
          <w:rFonts w:ascii="仿宋" w:hAnsi="仿宋" w:eastAsia="仿宋" w:cs="Times New Roman"/>
          <w:bCs/>
          <w:sz w:val="24"/>
          <w:szCs w:val="24"/>
          <w:highlight w:val="none"/>
        </w:rPr>
        <w:t>5</w:t>
      </w:r>
      <w:r>
        <w:rPr>
          <w:rFonts w:hint="eastAsia" w:ascii="仿宋" w:hAnsi="仿宋" w:eastAsia="仿宋" w:cs="Times New Roman"/>
          <w:bCs/>
          <w:sz w:val="24"/>
          <w:szCs w:val="24"/>
          <w:highlight w:val="none"/>
        </w:rPr>
        <w:t>年</w:t>
      </w:r>
      <w:r>
        <w:rPr>
          <w:rFonts w:hint="eastAsia" w:ascii="仿宋" w:hAnsi="仿宋" w:eastAsia="仿宋" w:cs="Times New Roman"/>
          <w:bCs/>
          <w:sz w:val="24"/>
          <w:szCs w:val="24"/>
          <w:highlight w:val="none"/>
          <w:lang w:val="en-US" w:eastAsia="zh-CN"/>
        </w:rPr>
        <w:t>1</w:t>
      </w:r>
      <w:r>
        <w:rPr>
          <w:rFonts w:hint="eastAsia" w:ascii="仿宋" w:hAnsi="仿宋" w:eastAsia="仿宋" w:cs="Times New Roman"/>
          <w:bCs/>
          <w:sz w:val="24"/>
          <w:szCs w:val="24"/>
          <w:highlight w:val="none"/>
        </w:rPr>
        <w:t>月</w:t>
      </w:r>
      <w:r>
        <w:rPr>
          <w:rFonts w:hint="eastAsia" w:ascii="仿宋" w:hAnsi="仿宋" w:eastAsia="仿宋" w:cs="Times New Roman"/>
          <w:bCs/>
          <w:sz w:val="24"/>
          <w:szCs w:val="24"/>
          <w:highlight w:val="none"/>
          <w:lang w:val="en-US" w:eastAsia="zh-CN"/>
        </w:rPr>
        <w:t>16</w:t>
      </w:r>
      <w:r>
        <w:rPr>
          <w:rFonts w:hint="eastAsia" w:ascii="仿宋" w:hAnsi="仿宋" w:eastAsia="仿宋" w:cs="Times New Roman"/>
          <w:bCs/>
          <w:sz w:val="24"/>
          <w:szCs w:val="24"/>
          <w:highlight w:val="none"/>
        </w:rPr>
        <w:t>日</w:t>
      </w:r>
      <w:r>
        <w:rPr>
          <w:rFonts w:hint="eastAsia" w:ascii="仿宋" w:hAnsi="仿宋" w:eastAsia="仿宋" w:cs="Times New Roman"/>
          <w:bCs/>
          <w:sz w:val="24"/>
          <w:szCs w:val="24"/>
          <w:highlight w:val="none"/>
          <w:lang w:val="en-US" w:eastAsia="zh-CN"/>
        </w:rPr>
        <w:t>中午</w:t>
      </w:r>
      <w:r>
        <w:rPr>
          <w:rFonts w:hint="eastAsia" w:ascii="仿宋" w:hAnsi="仿宋" w:eastAsia="仿宋" w:cs="Times New Roman"/>
          <w:bCs/>
          <w:sz w:val="24"/>
          <w:szCs w:val="24"/>
          <w:highlight w:val="none"/>
        </w:rPr>
        <w:t>1</w:t>
      </w:r>
      <w:r>
        <w:rPr>
          <w:rFonts w:hint="eastAsia" w:ascii="仿宋" w:hAnsi="仿宋" w:eastAsia="仿宋" w:cs="Times New Roman"/>
          <w:bCs/>
          <w:sz w:val="24"/>
          <w:szCs w:val="24"/>
          <w:highlight w:val="none"/>
          <w:lang w:val="en-US" w:eastAsia="zh-CN"/>
        </w:rPr>
        <w:t>2</w:t>
      </w:r>
      <w:r>
        <w:rPr>
          <w:rFonts w:hint="eastAsia" w:ascii="仿宋" w:hAnsi="仿宋" w:eastAsia="仿宋" w:cs="Times New Roman"/>
          <w:bCs/>
          <w:sz w:val="24"/>
          <w:szCs w:val="24"/>
          <w:highlight w:val="none"/>
          <w:lang w:eastAsia="zh-CN"/>
        </w:rPr>
        <w:t>：</w:t>
      </w:r>
      <w:r>
        <w:rPr>
          <w:rFonts w:hint="eastAsia" w:ascii="仿宋" w:hAnsi="仿宋" w:eastAsia="仿宋" w:cs="Times New Roman"/>
          <w:bCs/>
          <w:sz w:val="24"/>
          <w:szCs w:val="24"/>
          <w:highlight w:val="none"/>
          <w:lang w:val="en-US" w:eastAsia="zh-CN"/>
        </w:rPr>
        <w:t>00</w:t>
      </w:r>
      <w:r>
        <w:rPr>
          <w:rFonts w:hint="eastAsia" w:ascii="仿宋" w:hAnsi="仿宋" w:eastAsia="仿宋" w:cs="Times New Roman"/>
          <w:bCs/>
          <w:sz w:val="24"/>
          <w:szCs w:val="24"/>
          <w:highlight w:val="none"/>
        </w:rPr>
        <w:t>前</w:t>
      </w:r>
      <w:r>
        <w:rPr>
          <w:rFonts w:hint="eastAsia" w:ascii="仿宋" w:hAnsi="仿宋" w:eastAsia="仿宋" w:cs="Times New Roman"/>
          <w:bCs/>
          <w:sz w:val="24"/>
          <w:szCs w:val="24"/>
        </w:rPr>
        <w:t>，送样地址：苏州市姑苏区东环路50号苏州大学东校区凌云楼1017室，联系人：陈老师，联系电话：0512-67167481/17712489956（送样时请提前联系）。</w:t>
      </w:r>
    </w:p>
    <w:p w14:paraId="69862309">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二、评分标准</w:t>
      </w:r>
    </w:p>
    <w:p w14:paraId="42F899DE">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bCs/>
          <w:sz w:val="24"/>
          <w:szCs w:val="24"/>
        </w:rPr>
        <w:t>（一）</w:t>
      </w:r>
      <w:r>
        <w:rPr>
          <w:rFonts w:hint="eastAsia" w:ascii="楷体_GB2312" w:hAnsi="仿宋" w:eastAsia="楷体_GB2312" w:cs="Times New Roman"/>
          <w:sz w:val="24"/>
          <w:szCs w:val="24"/>
        </w:rPr>
        <w:t>价格分 （35分）</w:t>
      </w:r>
    </w:p>
    <w:p w14:paraId="5D458ACC">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价格分采用低价优先法计算，即在所有投标单位标的物清单各项明细报价中选择最低的报价确定为该项明细报价的基准报价。</w:t>
      </w:r>
    </w:p>
    <w:p w14:paraId="4FEA9058">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.将该项明细项所有合格投标人报价与该明细项的基准报价相比较：等于基准报价的该项明细得满分，其他投标人的该项明细价格分按照下列公式计算（计算结果四舍五入保留两位小数）：</w:t>
      </w:r>
      <w:r>
        <w:rPr>
          <w:rFonts w:hint="eastAsia" w:ascii="仿宋" w:hAnsi="仿宋" w:eastAsia="仿宋" w:cs="Times New Roman"/>
          <w:b/>
          <w:bCs/>
          <w:sz w:val="24"/>
          <w:szCs w:val="24"/>
        </w:rPr>
        <w:t>明细项投标报价得分=(明细项基准报价/明细项投标报价)*35</w:t>
      </w:r>
      <w:r>
        <w:rPr>
          <w:rFonts w:ascii="仿宋" w:hAnsi="仿宋" w:eastAsia="仿宋" w:cs="Times New Roman"/>
          <w:b/>
          <w:bCs/>
          <w:sz w:val="24"/>
          <w:szCs w:val="24"/>
        </w:rPr>
        <w:t>%</w:t>
      </w:r>
      <w:r>
        <w:rPr>
          <w:rFonts w:hint="eastAsia" w:ascii="仿宋" w:hAnsi="仿宋" w:eastAsia="仿宋" w:cs="Times New Roman"/>
          <w:b/>
          <w:bCs/>
          <w:sz w:val="24"/>
          <w:szCs w:val="24"/>
        </w:rPr>
        <w:t>*</w:t>
      </w:r>
      <w:r>
        <w:rPr>
          <w:rFonts w:ascii="仿宋" w:hAnsi="仿宋" w:eastAsia="仿宋" w:cs="Times New Roman"/>
          <w:b/>
          <w:bCs/>
          <w:sz w:val="24"/>
          <w:szCs w:val="24"/>
        </w:rPr>
        <w:t>100</w:t>
      </w:r>
    </w:p>
    <w:p w14:paraId="74B070CF">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sz w:val="24"/>
          <w:szCs w:val="24"/>
        </w:rPr>
      </w:pPr>
      <w:r>
        <w:rPr>
          <w:rFonts w:ascii="仿宋" w:hAnsi="仿宋" w:eastAsia="仿宋" w:cs="Times New Roman"/>
          <w:b/>
          <w:bCs/>
          <w:sz w:val="24"/>
          <w:szCs w:val="24"/>
        </w:rPr>
        <w:t>3.</w:t>
      </w:r>
      <w:r>
        <w:rPr>
          <w:rFonts w:hint="eastAsia" w:ascii="仿宋" w:hAnsi="仿宋" w:eastAsia="仿宋" w:cs="Times New Roman"/>
          <w:b/>
          <w:bCs/>
          <w:sz w:val="24"/>
          <w:szCs w:val="24"/>
          <w:lang w:val="en-US" w:eastAsia="zh-CN"/>
        </w:rPr>
        <w:t>各投标人</w:t>
      </w:r>
      <w:r>
        <w:rPr>
          <w:rFonts w:hint="eastAsia" w:ascii="仿宋" w:hAnsi="仿宋" w:eastAsia="仿宋" w:cs="Times New Roman"/>
          <w:b/>
          <w:bCs/>
          <w:sz w:val="24"/>
          <w:szCs w:val="24"/>
        </w:rPr>
        <w:t>投标报价得分＝各明细项投标报价得分汇总</w:t>
      </w:r>
      <w:r>
        <w:rPr>
          <w:rFonts w:ascii="仿宋" w:hAnsi="仿宋" w:eastAsia="仿宋" w:cs="Times New Roman"/>
          <w:b/>
          <w:bCs/>
          <w:sz w:val="24"/>
          <w:szCs w:val="24"/>
        </w:rPr>
        <w:t>/</w:t>
      </w:r>
      <w:r>
        <w:rPr>
          <w:rFonts w:hint="eastAsia" w:ascii="仿宋" w:hAnsi="仿宋" w:eastAsia="仿宋" w:cs="Times New Roman"/>
          <w:b/>
          <w:bCs/>
          <w:sz w:val="24"/>
          <w:szCs w:val="24"/>
        </w:rPr>
        <w:t>明细项目总个数</w:t>
      </w:r>
    </w:p>
    <w:p w14:paraId="612E2F76">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w:t>
      </w:r>
      <w:r>
        <w:rPr>
          <w:rFonts w:ascii="仿宋" w:hAnsi="仿宋" w:eastAsia="仿宋" w:cs="Times New Roman"/>
          <w:b/>
          <w:bCs/>
          <w:color w:val="FF0000"/>
          <w:kern w:val="0"/>
          <w:sz w:val="24"/>
          <w:szCs w:val="24"/>
        </w:rPr>
        <w:t>1）</w:t>
      </w:r>
      <w:r>
        <w:rPr>
          <w:rFonts w:hint="eastAsia" w:ascii="仿宋" w:hAnsi="仿宋" w:eastAsia="仿宋" w:cs="Times New Roman"/>
          <w:b/>
          <w:bCs/>
          <w:color w:val="FF0000"/>
          <w:kern w:val="0"/>
          <w:sz w:val="24"/>
          <w:szCs w:val="24"/>
        </w:rPr>
        <w:t>开标后五分钟内，须</w:t>
      </w:r>
      <w:r>
        <w:rPr>
          <w:rFonts w:ascii="仿宋" w:hAnsi="仿宋" w:eastAsia="仿宋" w:cs="Times New Roman"/>
          <w:b/>
          <w:bCs/>
          <w:color w:val="FF0000"/>
          <w:kern w:val="0"/>
          <w:sz w:val="24"/>
          <w:szCs w:val="24"/>
        </w:rPr>
        <w:t>将</w:t>
      </w:r>
      <w:r>
        <w:rPr>
          <w:rFonts w:hint="eastAsia" w:ascii="仿宋" w:hAnsi="仿宋" w:eastAsia="仿宋" w:cs="Times New Roman"/>
          <w:b/>
          <w:bCs/>
          <w:color w:val="FF0000"/>
          <w:kern w:val="0"/>
          <w:sz w:val="24"/>
          <w:szCs w:val="24"/>
        </w:rPr>
        <w:t>投标报价表Excel版，通过电子邮件发送至xnchen</w:t>
      </w:r>
      <w:r>
        <w:rPr>
          <w:rFonts w:ascii="仿宋" w:hAnsi="仿宋" w:eastAsia="仿宋" w:cs="Times New Roman"/>
          <w:b/>
          <w:bCs/>
          <w:color w:val="FF0000"/>
          <w:kern w:val="0"/>
          <w:sz w:val="24"/>
          <w:szCs w:val="24"/>
        </w:rPr>
        <w:t>@suda.edu.cn</w:t>
      </w:r>
      <w:r>
        <w:rPr>
          <w:rFonts w:hint="eastAsia" w:ascii="仿宋" w:hAnsi="仿宋" w:eastAsia="仿宋" w:cs="Times New Roman"/>
          <w:b/>
          <w:bCs/>
          <w:color w:val="FF0000"/>
          <w:kern w:val="0"/>
          <w:sz w:val="24"/>
          <w:szCs w:val="24"/>
        </w:rPr>
        <w:t>。</w:t>
      </w:r>
    </w:p>
    <w:p w14:paraId="266E435B">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（2）投标报价</w:t>
      </w:r>
      <w:r>
        <w:rPr>
          <w:rFonts w:ascii="仿宋" w:hAnsi="仿宋" w:eastAsia="仿宋" w:cs="Times New Roman"/>
          <w:b/>
          <w:bCs/>
          <w:color w:val="FF0000"/>
          <w:kern w:val="0"/>
          <w:sz w:val="24"/>
          <w:szCs w:val="24"/>
        </w:rPr>
        <w:t>表</w:t>
      </w:r>
      <w:r>
        <w:rPr>
          <w:rFonts w:hint="eastAsia" w:ascii="仿宋" w:hAnsi="仿宋" w:eastAsia="仿宋" w:cs="Times New Roman"/>
          <w:b/>
          <w:bCs/>
          <w:color w:val="FF0000"/>
          <w:kern w:val="0"/>
          <w:sz w:val="24"/>
          <w:szCs w:val="24"/>
        </w:rPr>
        <w:t>不得作</w:t>
      </w:r>
      <w:r>
        <w:rPr>
          <w:rFonts w:ascii="仿宋" w:hAnsi="仿宋" w:eastAsia="仿宋" w:cs="Times New Roman"/>
          <w:b/>
          <w:bCs/>
          <w:color w:val="FF0000"/>
          <w:kern w:val="0"/>
          <w:sz w:val="24"/>
          <w:szCs w:val="24"/>
        </w:rPr>
        <w:t>任何变</w:t>
      </w:r>
      <w:r>
        <w:rPr>
          <w:rFonts w:hint="eastAsia" w:ascii="仿宋" w:hAnsi="仿宋" w:eastAsia="仿宋" w:cs="Times New Roman"/>
          <w:b/>
          <w:bCs/>
          <w:color w:val="FF0000"/>
          <w:kern w:val="0"/>
          <w:sz w:val="24"/>
          <w:szCs w:val="24"/>
        </w:rPr>
        <w:t>更，其明细内容及顺序若有调整，将视为非实质性响应。</w:t>
      </w:r>
    </w:p>
    <w:p w14:paraId="3C3A00A8">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color w:val="FF0000"/>
          <w:kern w:val="0"/>
          <w:sz w:val="24"/>
          <w:szCs w:val="24"/>
        </w:rPr>
        <w:t>（3）投标人未按报价文件格式要求报价，或出现少报、漏报的，均按无效投标处理。</w:t>
      </w:r>
    </w:p>
    <w:p w14:paraId="3ED16F93">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1712444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（二）样品质量（10分）</w:t>
      </w:r>
    </w:p>
    <w:p w14:paraId="3125060D">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ascii="仿宋" w:hAnsi="仿宋" w:eastAsia="仿宋" w:cs="Times New Roman"/>
          <w:sz w:val="24"/>
          <w:szCs w:val="24"/>
        </w:rPr>
        <w:t>1.</w:t>
      </w:r>
      <w:r>
        <w:rPr>
          <w:rFonts w:hint="eastAsia" w:ascii="仿宋" w:hAnsi="仿宋" w:eastAsia="仿宋" w:cs="Times New Roman"/>
          <w:sz w:val="24"/>
          <w:szCs w:val="24"/>
        </w:rPr>
        <w:t>样品综合性能（3分）：根据所投样品的综合性能综合评定，包括产品品牌、生产商或制造商、产地、配料、产品执行标准、生产许可证编号、质量等级、营养成分表等。</w:t>
      </w:r>
    </w:p>
    <w:p w14:paraId="15941582">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产品品牌</w:t>
      </w:r>
      <w:r>
        <w:rPr>
          <w:rFonts w:hint="eastAsia" w:ascii="仿宋" w:hAnsi="仿宋" w:eastAsia="仿宋" w:cs="Times New Roman"/>
          <w:sz w:val="24"/>
          <w:szCs w:val="24"/>
          <w:lang w:val="en-US" w:eastAsia="zh-CN"/>
        </w:rPr>
        <w:t>认可度高</w:t>
      </w:r>
      <w:r>
        <w:rPr>
          <w:rFonts w:hint="eastAsia" w:ascii="仿宋" w:hAnsi="仿宋" w:eastAsia="仿宋" w:cs="Times New Roman"/>
          <w:sz w:val="24"/>
          <w:szCs w:val="24"/>
        </w:rPr>
        <w:t>，营养成分丰富，品质高、有保障，优于采购需求的，得3分；产品品牌</w:t>
      </w:r>
      <w:r>
        <w:rPr>
          <w:rFonts w:hint="eastAsia" w:ascii="仿宋" w:hAnsi="仿宋" w:eastAsia="仿宋" w:cs="Times New Roman"/>
          <w:sz w:val="24"/>
          <w:szCs w:val="24"/>
          <w:lang w:val="en-US" w:eastAsia="zh-CN"/>
        </w:rPr>
        <w:t>认可度较高</w:t>
      </w:r>
      <w:r>
        <w:rPr>
          <w:rFonts w:hint="eastAsia" w:ascii="仿宋" w:hAnsi="仿宋" w:eastAsia="仿宋" w:cs="Times New Roman"/>
          <w:sz w:val="24"/>
          <w:szCs w:val="24"/>
        </w:rPr>
        <w:t>，营养成分较丰富，品质较高，较能优于采购需求的，得2分；产品品牌</w:t>
      </w:r>
      <w:r>
        <w:rPr>
          <w:rFonts w:hint="eastAsia" w:ascii="仿宋" w:hAnsi="仿宋" w:eastAsia="仿宋" w:cs="Times New Roman"/>
          <w:sz w:val="24"/>
          <w:szCs w:val="24"/>
          <w:lang w:val="en-US" w:eastAsia="zh-CN"/>
        </w:rPr>
        <w:t>认可度</w:t>
      </w:r>
      <w:r>
        <w:rPr>
          <w:rFonts w:hint="eastAsia" w:ascii="仿宋" w:hAnsi="仿宋" w:eastAsia="仿宋" w:cs="Times New Roman"/>
          <w:sz w:val="24"/>
          <w:szCs w:val="24"/>
        </w:rPr>
        <w:t>一般，营养成分</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，品质一般，基本满足采购需求的，得1分。</w:t>
      </w:r>
    </w:p>
    <w:p w14:paraId="508D1E9B">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2.样品感官品质（3分）：根据所投样品的整体外观、色泽、气味等情况综合评定，主要考察米粒整齐度、硬度、爆腰程度、透明度、光泽、腹白情况、碎度、杂质程度等；食用油的色泽、杂质等。</w:t>
      </w:r>
    </w:p>
    <w:p w14:paraId="6D09D46C">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highlight w:val="none"/>
        </w:rPr>
      </w:pPr>
      <w:r>
        <w:rPr>
          <w:rFonts w:hint="eastAsia" w:ascii="仿宋" w:hAnsi="仿宋" w:eastAsia="仿宋" w:cs="Times New Roman"/>
          <w:sz w:val="24"/>
          <w:szCs w:val="24"/>
        </w:rPr>
        <w:t>外观品质好，色泽均匀、自然，气味清香纯正的，得3分；外观品质较好，色泽较均匀、自然，气味较清香纯正的，得2分；外观品质、色泽、气味</w:t>
      </w:r>
      <w:r>
        <w:rPr>
          <w:rFonts w:hint="eastAsia" w:ascii="仿宋" w:hAnsi="仿宋" w:eastAsia="仿宋" w:cs="Times New Roman"/>
          <w:sz w:val="24"/>
          <w:szCs w:val="24"/>
          <w:highlight w:val="none"/>
        </w:rPr>
        <w:t>一般的，得1分；其他不得分。</w:t>
      </w:r>
    </w:p>
    <w:p w14:paraId="7328A2E4">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highlight w:val="none"/>
        </w:rPr>
      </w:pPr>
      <w:r>
        <w:rPr>
          <w:rFonts w:hint="eastAsia" w:ascii="仿宋" w:hAnsi="仿宋" w:eastAsia="仿宋" w:cs="Times New Roman"/>
          <w:sz w:val="24"/>
          <w:szCs w:val="24"/>
          <w:highlight w:val="none"/>
        </w:rPr>
        <w:t>3.样品品鉴（4分）：根据米饭的色泽、口感和香型等综合评定。米饭香气浓郁，颜色洁白有明显光泽，饭粒结构紧密、完整性好，咀嚼时软糯香甜有嚼劲的，得4分；米饭清香，颜色稍有光泽，饭粒结构较紧密、完整性较好，咀嚼口感稍有嚼劲的，得3分；米饭香气不明显，颜色正常，饭粒结构紧密性、完整性、</w:t>
      </w:r>
      <w:r>
        <w:rPr>
          <w:rFonts w:hint="eastAsia" w:ascii="仿宋" w:hAnsi="仿宋" w:eastAsia="仿宋" w:cs="Times New Roman"/>
          <w:sz w:val="24"/>
          <w:szCs w:val="24"/>
        </w:rPr>
        <w:t>咀嚼口感一般</w:t>
      </w:r>
      <w:r>
        <w:rPr>
          <w:rFonts w:hint="eastAsia" w:ascii="仿宋" w:hAnsi="仿宋" w:eastAsia="仿宋" w:cs="Times New Roman"/>
          <w:sz w:val="24"/>
          <w:szCs w:val="24"/>
          <w:highlight w:val="none"/>
        </w:rPr>
        <w:t>的，得2分；米饭无香味但无异味，颜色发黄无光泽，</w:t>
      </w:r>
      <w:r>
        <w:rPr>
          <w:rFonts w:hint="eastAsia" w:ascii="仿宋" w:hAnsi="仿宋" w:eastAsia="仿宋" w:cs="Times New Roman"/>
          <w:sz w:val="24"/>
          <w:szCs w:val="24"/>
          <w:highlight w:val="none"/>
          <w:lang w:val="en-US" w:eastAsia="zh-CN"/>
        </w:rPr>
        <w:t>饭粒松散、</w:t>
      </w:r>
      <w:r>
        <w:rPr>
          <w:rFonts w:hint="eastAsia" w:ascii="仿宋" w:hAnsi="仿宋" w:eastAsia="仿宋" w:cs="Times New Roman"/>
          <w:sz w:val="24"/>
          <w:szCs w:val="24"/>
          <w:highlight w:val="none"/>
        </w:rPr>
        <w:t>口感较差的，得1分；其他不得分。</w:t>
      </w:r>
    </w:p>
    <w:p w14:paraId="0290B51C">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highlight w:val="none"/>
        </w:rPr>
      </w:pPr>
      <w:r>
        <w:rPr>
          <w:rFonts w:hint="eastAsia" w:ascii="仿宋" w:hAnsi="仿宋" w:eastAsia="仿宋" w:cs="Times New Roman"/>
          <w:b/>
          <w:bCs/>
          <w:sz w:val="24"/>
          <w:szCs w:val="24"/>
          <w:highlight w:val="none"/>
        </w:rPr>
        <w:t>注：投标单位需按采购文件要求提供样品，未在规定时间内提交样品的，本项将不得分。</w:t>
      </w:r>
    </w:p>
    <w:p w14:paraId="130E44AC">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highlight w:val="none"/>
        </w:rPr>
        <w:t>（三）企业认证证书及获奖证书（</w:t>
      </w:r>
      <w:r>
        <w:rPr>
          <w:rFonts w:ascii="楷体_GB2312" w:hAnsi="仿宋" w:eastAsia="楷体_GB2312" w:cs="Times New Roman"/>
          <w:sz w:val="24"/>
          <w:szCs w:val="24"/>
          <w:highlight w:val="none"/>
        </w:rPr>
        <w:t>5</w:t>
      </w:r>
      <w:r>
        <w:rPr>
          <w:rFonts w:hint="eastAsia" w:ascii="楷体_GB2312" w:hAnsi="仿宋" w:eastAsia="楷体_GB2312" w:cs="Times New Roman"/>
          <w:sz w:val="24"/>
          <w:szCs w:val="24"/>
          <w:highlight w:val="none"/>
        </w:rPr>
        <w:t>分）</w:t>
      </w:r>
    </w:p>
    <w:p w14:paraId="0F30C5EC">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kern w:val="0"/>
          <w:sz w:val="24"/>
          <w:szCs w:val="24"/>
        </w:rPr>
        <w:t>投标单位具有</w:t>
      </w:r>
      <w:r>
        <w:rPr>
          <w:rFonts w:ascii="仿宋" w:hAnsi="仿宋" w:eastAsia="仿宋" w:cs="Times New Roman"/>
          <w:kern w:val="0"/>
          <w:sz w:val="24"/>
          <w:szCs w:val="24"/>
        </w:rPr>
        <w:t>ISO9001</w:t>
      </w:r>
      <w:r>
        <w:rPr>
          <w:rFonts w:hint="eastAsia" w:ascii="仿宋" w:hAnsi="仿宋" w:eastAsia="仿宋" w:cs="Times New Roman"/>
          <w:kern w:val="0"/>
          <w:sz w:val="24"/>
          <w:szCs w:val="24"/>
        </w:rPr>
        <w:t>质量管理体系认证证书、H</w:t>
      </w:r>
      <w:r>
        <w:rPr>
          <w:rFonts w:ascii="仿宋" w:hAnsi="仿宋" w:eastAsia="仿宋" w:cs="Times New Roman"/>
          <w:kern w:val="0"/>
          <w:sz w:val="24"/>
          <w:szCs w:val="24"/>
        </w:rPr>
        <w:t>ACCP或ISO22000</w:t>
      </w:r>
      <w:r>
        <w:rPr>
          <w:rFonts w:hint="eastAsia" w:ascii="仿宋" w:hAnsi="仿宋" w:eastAsia="仿宋" w:cs="Times New Roman"/>
          <w:kern w:val="0"/>
          <w:sz w:val="24"/>
          <w:szCs w:val="24"/>
        </w:rPr>
        <w:t>食品安全管理体系认证证书、</w:t>
      </w:r>
      <w:r>
        <w:rPr>
          <w:rFonts w:ascii="仿宋" w:hAnsi="仿宋" w:eastAsia="仿宋" w:cs="Times New Roman"/>
          <w:kern w:val="0"/>
          <w:sz w:val="24"/>
          <w:szCs w:val="24"/>
        </w:rPr>
        <w:t>ISO14000</w:t>
      </w:r>
      <w:r>
        <w:rPr>
          <w:rFonts w:hint="eastAsia" w:ascii="仿宋" w:hAnsi="仿宋" w:eastAsia="仿宋" w:cs="Times New Roman"/>
          <w:kern w:val="0"/>
          <w:sz w:val="24"/>
          <w:szCs w:val="24"/>
        </w:rPr>
        <w:t>环境管理体系认证证书，每提供一项有效期内证书得1分，最高得</w:t>
      </w:r>
      <w:r>
        <w:rPr>
          <w:rFonts w:ascii="仿宋" w:hAnsi="仿宋" w:eastAsia="仿宋" w:cs="Times New Roman"/>
          <w:kern w:val="0"/>
          <w:sz w:val="24"/>
          <w:szCs w:val="24"/>
        </w:rPr>
        <w:t>3</w:t>
      </w:r>
      <w:r>
        <w:rPr>
          <w:rFonts w:hint="eastAsia" w:ascii="仿宋" w:hAnsi="仿宋" w:eastAsia="仿宋" w:cs="Times New Roman"/>
          <w:kern w:val="0"/>
          <w:sz w:val="24"/>
          <w:szCs w:val="24"/>
        </w:rPr>
        <w:t>分。</w:t>
      </w:r>
    </w:p>
    <w:p w14:paraId="4C02CA56">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2021年12月以来，投标单位获得政府部门颁发的奖项。每项得1分，最高得2分。</w:t>
      </w:r>
    </w:p>
    <w:p w14:paraId="59FAF6D8">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注：以上须提供证书复印件或相关证明材料，否则不得分。</w:t>
      </w:r>
    </w:p>
    <w:p w14:paraId="4D8B324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（四）服务业绩（12分）</w:t>
      </w:r>
    </w:p>
    <w:p w14:paraId="1131A8DE">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根据投标单位提供的自2021年12月以来（以合同签订时间为准）类似项目业绩进行评定。每项业绩须包括：（</w:t>
      </w:r>
      <w:r>
        <w:rPr>
          <w:rFonts w:ascii="仿宋" w:hAnsi="仿宋" w:eastAsia="仿宋" w:cs="Times New Roman"/>
          <w:sz w:val="24"/>
          <w:szCs w:val="24"/>
        </w:rPr>
        <w:t>1</w:t>
      </w:r>
      <w:r>
        <w:rPr>
          <w:rFonts w:hint="eastAsia" w:ascii="仿宋" w:hAnsi="仿宋" w:eastAsia="仿宋" w:cs="Times New Roman"/>
          <w:sz w:val="24"/>
          <w:szCs w:val="24"/>
        </w:rPr>
        <w:t>）不低于</w:t>
      </w:r>
      <w:r>
        <w:rPr>
          <w:rFonts w:ascii="仿宋" w:hAnsi="仿宋" w:eastAsia="仿宋" w:cs="Times New Roman"/>
          <w:sz w:val="24"/>
          <w:szCs w:val="24"/>
        </w:rPr>
        <w:t>6</w:t>
      </w:r>
      <w:r>
        <w:rPr>
          <w:rFonts w:hint="eastAsia" w:ascii="仿宋" w:hAnsi="仿宋" w:eastAsia="仿宋" w:cs="Times New Roman"/>
          <w:sz w:val="24"/>
          <w:szCs w:val="24"/>
        </w:rPr>
        <w:t>个月的供货合同；（</w:t>
      </w:r>
      <w:r>
        <w:rPr>
          <w:rFonts w:ascii="仿宋" w:hAnsi="仿宋" w:eastAsia="仿宋" w:cs="Times New Roman"/>
          <w:sz w:val="24"/>
          <w:szCs w:val="24"/>
        </w:rPr>
        <w:t>2</w:t>
      </w:r>
      <w:r>
        <w:rPr>
          <w:rFonts w:hint="eastAsia" w:ascii="仿宋" w:hAnsi="仿宋" w:eastAsia="仿宋" w:cs="Times New Roman"/>
          <w:sz w:val="24"/>
          <w:szCs w:val="24"/>
        </w:rPr>
        <w:t>）合同供货清单须包含所投标段的品类、全部或部分品种。每提供</w:t>
      </w:r>
      <w:r>
        <w:rPr>
          <w:rFonts w:ascii="仿宋" w:hAnsi="仿宋" w:eastAsia="仿宋" w:cs="Times New Roman"/>
          <w:sz w:val="24"/>
          <w:szCs w:val="24"/>
        </w:rPr>
        <w:t>1</w:t>
      </w:r>
      <w:r>
        <w:rPr>
          <w:rFonts w:hint="eastAsia" w:ascii="仿宋" w:hAnsi="仿宋" w:eastAsia="仿宋" w:cs="Times New Roman"/>
          <w:sz w:val="24"/>
          <w:szCs w:val="24"/>
        </w:rPr>
        <w:t>项完整业绩得</w:t>
      </w:r>
      <w:r>
        <w:rPr>
          <w:rFonts w:ascii="仿宋" w:hAnsi="仿宋" w:eastAsia="仿宋" w:cs="Times New Roman"/>
          <w:sz w:val="24"/>
          <w:szCs w:val="24"/>
        </w:rPr>
        <w:t>1</w:t>
      </w:r>
      <w:r>
        <w:rPr>
          <w:rFonts w:hint="eastAsia" w:ascii="仿宋" w:hAnsi="仿宋" w:eastAsia="仿宋" w:cs="Times New Roman"/>
          <w:sz w:val="24"/>
          <w:szCs w:val="24"/>
        </w:rPr>
        <w:t>分，最高得1</w:t>
      </w:r>
      <w:r>
        <w:rPr>
          <w:rFonts w:ascii="仿宋" w:hAnsi="仿宋" w:eastAsia="仿宋" w:cs="Times New Roman"/>
          <w:sz w:val="24"/>
          <w:szCs w:val="24"/>
        </w:rPr>
        <w:t>2</w:t>
      </w:r>
      <w:r>
        <w:rPr>
          <w:rFonts w:hint="eastAsia" w:ascii="仿宋" w:hAnsi="仿宋" w:eastAsia="仿宋" w:cs="Times New Roman"/>
          <w:sz w:val="24"/>
          <w:szCs w:val="24"/>
        </w:rPr>
        <w:t>分。</w:t>
      </w:r>
    </w:p>
    <w:p w14:paraId="6A57D337">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注：须提供合同复印件，同一单位业绩不重复计分。中标后，中标单位须提供上述合同原件供学校核查。</w:t>
      </w:r>
    </w:p>
    <w:p w14:paraId="097768D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（五）种植基地和仓储面积（8分）</w:t>
      </w:r>
    </w:p>
    <w:p w14:paraId="2B711F6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1</w:t>
      </w:r>
      <w:r>
        <w:rPr>
          <w:rFonts w:ascii="仿宋" w:hAnsi="仿宋" w:eastAsia="仿宋" w:cs="Times New Roman"/>
          <w:bCs/>
          <w:sz w:val="24"/>
          <w:szCs w:val="24"/>
        </w:rPr>
        <w:t>.</w:t>
      </w:r>
      <w:r>
        <w:rPr>
          <w:rFonts w:hint="eastAsia" w:ascii="仿宋" w:hAnsi="仿宋" w:eastAsia="仿宋" w:cs="Times New Roman"/>
          <w:bCs/>
          <w:sz w:val="24"/>
          <w:szCs w:val="24"/>
        </w:rPr>
        <w:t>种植基地低于</w:t>
      </w:r>
      <w:r>
        <w:rPr>
          <w:rFonts w:ascii="仿宋" w:hAnsi="仿宋" w:eastAsia="仿宋" w:cs="Times New Roman"/>
          <w:bCs/>
          <w:sz w:val="24"/>
          <w:szCs w:val="24"/>
        </w:rPr>
        <w:t>250</w:t>
      </w:r>
      <w:r>
        <w:rPr>
          <w:rFonts w:hint="eastAsia" w:ascii="仿宋" w:hAnsi="仿宋" w:eastAsia="仿宋" w:cs="Times New Roman"/>
          <w:bCs/>
          <w:sz w:val="24"/>
          <w:szCs w:val="24"/>
        </w:rPr>
        <w:t>亩不得分，每满</w:t>
      </w:r>
      <w:r>
        <w:rPr>
          <w:rFonts w:ascii="仿宋" w:hAnsi="仿宋" w:eastAsia="仿宋" w:cs="Times New Roman"/>
          <w:bCs/>
          <w:sz w:val="24"/>
          <w:szCs w:val="24"/>
        </w:rPr>
        <w:t>250</w:t>
      </w:r>
      <w:r>
        <w:rPr>
          <w:rFonts w:hint="eastAsia" w:ascii="仿宋" w:hAnsi="仿宋" w:eastAsia="仿宋" w:cs="Times New Roman"/>
          <w:bCs/>
          <w:sz w:val="24"/>
          <w:szCs w:val="24"/>
        </w:rPr>
        <w:t>亩加</w:t>
      </w:r>
      <w:r>
        <w:rPr>
          <w:rFonts w:ascii="仿宋" w:hAnsi="仿宋" w:eastAsia="仿宋" w:cs="Times New Roman"/>
          <w:bCs/>
          <w:sz w:val="24"/>
          <w:szCs w:val="24"/>
        </w:rPr>
        <w:t>1</w:t>
      </w:r>
      <w:r>
        <w:rPr>
          <w:rFonts w:hint="eastAsia" w:ascii="仿宋" w:hAnsi="仿宋" w:eastAsia="仿宋" w:cs="Times New Roman"/>
          <w:bCs/>
          <w:sz w:val="24"/>
          <w:szCs w:val="24"/>
        </w:rPr>
        <w:t>分，</w:t>
      </w:r>
      <w:r>
        <w:rPr>
          <w:rFonts w:ascii="仿宋" w:hAnsi="仿宋" w:eastAsia="仿宋" w:cs="Times New Roman"/>
          <w:bCs/>
          <w:sz w:val="24"/>
          <w:szCs w:val="24"/>
        </w:rPr>
        <w:t>最高加</w:t>
      </w:r>
      <w:r>
        <w:rPr>
          <w:rFonts w:hint="eastAsia" w:ascii="仿宋" w:hAnsi="仿宋" w:eastAsia="仿宋" w:cs="Times New Roman"/>
          <w:bCs/>
          <w:sz w:val="24"/>
          <w:szCs w:val="24"/>
        </w:rPr>
        <w:t>4分。自有种植基地须提供自有土地证复印件；租赁的须提供租赁协议及出租方土地证复印件。</w:t>
      </w:r>
    </w:p>
    <w:p w14:paraId="2DCEE37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2</w:t>
      </w:r>
      <w:r>
        <w:rPr>
          <w:rFonts w:ascii="仿宋" w:hAnsi="仿宋" w:eastAsia="仿宋" w:cs="Times New Roman"/>
          <w:bCs/>
          <w:sz w:val="24"/>
          <w:szCs w:val="24"/>
        </w:rPr>
        <w:t>.</w:t>
      </w:r>
      <w:r>
        <w:rPr>
          <w:rFonts w:hint="eastAsia" w:ascii="仿宋" w:hAnsi="仿宋" w:eastAsia="仿宋" w:cs="Times New Roman"/>
          <w:bCs/>
          <w:sz w:val="24"/>
          <w:szCs w:val="24"/>
        </w:rPr>
        <w:t>仓储面积低于</w:t>
      </w:r>
      <w:r>
        <w:rPr>
          <w:rFonts w:ascii="仿宋" w:hAnsi="仿宋" w:eastAsia="仿宋" w:cs="Times New Roman"/>
          <w:bCs/>
          <w:sz w:val="24"/>
          <w:szCs w:val="24"/>
        </w:rPr>
        <w:t>500</w:t>
      </w:r>
      <w:r>
        <w:rPr>
          <w:rFonts w:hint="eastAsia" w:ascii="仿宋" w:hAnsi="仿宋" w:eastAsia="仿宋" w:cs="Times New Roman"/>
          <w:bCs/>
          <w:sz w:val="24"/>
          <w:szCs w:val="24"/>
        </w:rPr>
        <w:t>平方米不得分，每满</w:t>
      </w:r>
      <w:r>
        <w:rPr>
          <w:rFonts w:ascii="仿宋" w:hAnsi="仿宋" w:eastAsia="仿宋" w:cs="Times New Roman"/>
          <w:bCs/>
          <w:sz w:val="24"/>
          <w:szCs w:val="24"/>
        </w:rPr>
        <w:t>500</w:t>
      </w:r>
      <w:r>
        <w:rPr>
          <w:rFonts w:hint="eastAsia" w:ascii="仿宋" w:hAnsi="仿宋" w:eastAsia="仿宋" w:cs="Times New Roman"/>
          <w:bCs/>
          <w:sz w:val="24"/>
          <w:szCs w:val="24"/>
        </w:rPr>
        <w:t>平方米加</w:t>
      </w:r>
      <w:r>
        <w:rPr>
          <w:rFonts w:ascii="仿宋" w:hAnsi="仿宋" w:eastAsia="仿宋" w:cs="Times New Roman"/>
          <w:bCs/>
          <w:sz w:val="24"/>
          <w:szCs w:val="24"/>
        </w:rPr>
        <w:t>1</w:t>
      </w:r>
      <w:r>
        <w:rPr>
          <w:rFonts w:hint="eastAsia" w:ascii="仿宋" w:hAnsi="仿宋" w:eastAsia="仿宋" w:cs="Times New Roman"/>
          <w:bCs/>
          <w:sz w:val="24"/>
          <w:szCs w:val="24"/>
        </w:rPr>
        <w:t>分，</w:t>
      </w:r>
      <w:r>
        <w:rPr>
          <w:rFonts w:ascii="仿宋" w:hAnsi="仿宋" w:eastAsia="仿宋" w:cs="Times New Roman"/>
          <w:bCs/>
          <w:sz w:val="24"/>
          <w:szCs w:val="24"/>
        </w:rPr>
        <w:t>最高加</w:t>
      </w:r>
      <w:r>
        <w:rPr>
          <w:rFonts w:hint="eastAsia" w:ascii="仿宋" w:hAnsi="仿宋" w:eastAsia="仿宋" w:cs="Times New Roman"/>
          <w:bCs/>
          <w:sz w:val="24"/>
          <w:szCs w:val="24"/>
        </w:rPr>
        <w:t>4分。</w:t>
      </w:r>
    </w:p>
    <w:p w14:paraId="0C315CF0">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注：自有仓库的须提供相关产权证明复印件，租赁的须提供租赁协议及出租方相关产权证明复印件。上述资料不提供或提供不全的，不得分。中标后，中标单位提供上述租赁协议原件供学校核查。</w:t>
      </w:r>
    </w:p>
    <w:p w14:paraId="4A2C34FC">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（六）运输能力（4分）</w:t>
      </w:r>
    </w:p>
    <w:p w14:paraId="531029F5">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根据投标单位提供的运输车辆情况进行评分，少于4辆不得分，每满4辆加</w:t>
      </w:r>
      <w:r>
        <w:rPr>
          <w:rFonts w:ascii="仿宋" w:hAnsi="仿宋" w:eastAsia="仿宋" w:cs="Times New Roman"/>
          <w:sz w:val="24"/>
          <w:szCs w:val="24"/>
        </w:rPr>
        <w:t>2</w:t>
      </w:r>
      <w:r>
        <w:rPr>
          <w:rFonts w:hint="eastAsia" w:ascii="仿宋" w:hAnsi="仿宋" w:eastAsia="仿宋" w:cs="Times New Roman"/>
          <w:sz w:val="24"/>
          <w:szCs w:val="24"/>
        </w:rPr>
        <w:t>分，最高得4分。</w:t>
      </w:r>
    </w:p>
    <w:p w14:paraId="79E0B4B3">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注：自有运输车辆须提供运输车辆的机动车行驶证复印件；租赁的须提供租赁协议及运输车辆的机动车行驶证复印件。上述资料不提供或提供不全的，不得分。</w:t>
      </w:r>
    </w:p>
    <w:p w14:paraId="12B30253">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（七）产品质量控制措施（</w:t>
      </w:r>
      <w:r>
        <w:rPr>
          <w:rFonts w:ascii="楷体_GB2312" w:hAnsi="仿宋" w:eastAsia="楷体_GB2312" w:cs="Times New Roman"/>
          <w:sz w:val="24"/>
          <w:szCs w:val="24"/>
        </w:rPr>
        <w:t>7</w:t>
      </w:r>
      <w:r>
        <w:rPr>
          <w:rFonts w:hint="eastAsia" w:ascii="楷体_GB2312" w:hAnsi="仿宋" w:eastAsia="楷体_GB2312" w:cs="Times New Roman"/>
          <w:sz w:val="24"/>
          <w:szCs w:val="24"/>
        </w:rPr>
        <w:t>分）</w:t>
      </w:r>
    </w:p>
    <w:p w14:paraId="47B32266">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对所供产品的食品安全负责，建立食品安全追溯系统，提供追溯系统二维码、现场能扫码查询登录，得</w:t>
      </w:r>
      <w:r>
        <w:rPr>
          <w:rFonts w:ascii="仿宋" w:hAnsi="仿宋" w:eastAsia="仿宋" w:cs="Times New Roman"/>
          <w:sz w:val="24"/>
          <w:szCs w:val="24"/>
        </w:rPr>
        <w:t>2</w:t>
      </w:r>
      <w:r>
        <w:rPr>
          <w:rFonts w:hint="eastAsia" w:ascii="仿宋" w:hAnsi="仿宋" w:eastAsia="仿宋" w:cs="Times New Roman"/>
          <w:sz w:val="24"/>
          <w:szCs w:val="24"/>
        </w:rPr>
        <w:t>分，未提供不得分。</w:t>
      </w:r>
    </w:p>
    <w:p w14:paraId="3E3B6C1C">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2</w:t>
      </w:r>
      <w:r>
        <w:rPr>
          <w:rFonts w:ascii="仿宋" w:hAnsi="仿宋" w:eastAsia="仿宋" w:cs="Times New Roman"/>
          <w:bCs/>
          <w:sz w:val="24"/>
          <w:szCs w:val="24"/>
        </w:rPr>
        <w:t>.</w:t>
      </w:r>
      <w:r>
        <w:rPr>
          <w:rFonts w:hint="eastAsia" w:ascii="仿宋" w:hAnsi="仿宋" w:eastAsia="仿宋" w:cs="Times New Roman"/>
          <w:bCs/>
          <w:sz w:val="24"/>
          <w:szCs w:val="24"/>
        </w:rPr>
        <w:t>有完善的管理方案和措施（含产品加工环节控制措施、产品品质检测控制措施、产品</w:t>
      </w:r>
      <w:r>
        <w:rPr>
          <w:rFonts w:hint="eastAsia" w:ascii="仿宋" w:hAnsi="仿宋" w:eastAsia="仿宋" w:cs="Times New Roman"/>
          <w:sz w:val="24"/>
          <w:szCs w:val="24"/>
        </w:rPr>
        <w:t>存储环节</w:t>
      </w:r>
      <w:r>
        <w:rPr>
          <w:rFonts w:hint="eastAsia" w:ascii="仿宋" w:hAnsi="仿宋" w:eastAsia="仿宋" w:cs="Times New Roman"/>
          <w:bCs/>
          <w:sz w:val="24"/>
          <w:szCs w:val="24"/>
        </w:rPr>
        <w:t>控制措施</w:t>
      </w:r>
      <w:r>
        <w:rPr>
          <w:rFonts w:hint="eastAsia" w:ascii="仿宋" w:hAnsi="仿宋" w:eastAsia="仿宋" w:cs="Times New Roman"/>
          <w:sz w:val="24"/>
          <w:szCs w:val="24"/>
        </w:rPr>
        <w:t>和产品运输环节</w:t>
      </w:r>
      <w:r>
        <w:rPr>
          <w:rFonts w:hint="eastAsia" w:ascii="仿宋" w:hAnsi="仿宋" w:eastAsia="仿宋" w:cs="Times New Roman"/>
          <w:bCs/>
          <w:sz w:val="24"/>
          <w:szCs w:val="24"/>
        </w:rPr>
        <w:t>控制措施）。管理方案完善详细，措施合理，操作性强的得</w:t>
      </w:r>
      <w:r>
        <w:rPr>
          <w:rFonts w:ascii="仿宋" w:hAnsi="仿宋" w:eastAsia="仿宋" w:cs="Times New Roman"/>
          <w:bCs/>
          <w:sz w:val="24"/>
          <w:szCs w:val="24"/>
        </w:rPr>
        <w:t>5</w:t>
      </w:r>
      <w:r>
        <w:rPr>
          <w:rFonts w:hint="eastAsia" w:ascii="仿宋" w:hAnsi="仿宋" w:eastAsia="仿宋" w:cs="Times New Roman"/>
          <w:bCs/>
          <w:sz w:val="24"/>
          <w:szCs w:val="24"/>
        </w:rPr>
        <w:t>分；管理方案完善较详细，措施较合理，操作性较强的得</w:t>
      </w:r>
      <w:r>
        <w:rPr>
          <w:rFonts w:ascii="仿宋" w:hAnsi="仿宋" w:eastAsia="仿宋" w:cs="Times New Roman"/>
          <w:bCs/>
          <w:sz w:val="24"/>
          <w:szCs w:val="24"/>
        </w:rPr>
        <w:t>3</w:t>
      </w:r>
      <w:r>
        <w:rPr>
          <w:rFonts w:hint="eastAsia" w:ascii="仿宋" w:hAnsi="仿宋" w:eastAsia="仿宋" w:cs="Times New Roman"/>
          <w:bCs/>
          <w:sz w:val="24"/>
          <w:szCs w:val="24"/>
        </w:rPr>
        <w:t>分；管理方案简单，措施</w:t>
      </w:r>
      <w:r>
        <w:rPr>
          <w:rFonts w:hint="eastAsia" w:ascii="仿宋" w:hAnsi="仿宋" w:eastAsia="仿宋" w:cs="Times New Roman"/>
          <w:bCs/>
          <w:sz w:val="24"/>
          <w:szCs w:val="24"/>
          <w:lang w:val="en-US" w:eastAsia="zh-CN"/>
        </w:rPr>
        <w:t>部分合理</w:t>
      </w:r>
      <w:r>
        <w:rPr>
          <w:rFonts w:hint="eastAsia" w:ascii="仿宋" w:hAnsi="仿宋" w:eastAsia="仿宋" w:cs="Times New Roman"/>
          <w:bCs/>
          <w:sz w:val="24"/>
          <w:szCs w:val="24"/>
        </w:rPr>
        <w:t>，操作性</w:t>
      </w:r>
      <w:r>
        <w:rPr>
          <w:rFonts w:hint="eastAsia" w:ascii="仿宋" w:hAnsi="仿宋" w:eastAsia="仿宋" w:cs="Times New Roman"/>
          <w:bCs/>
          <w:sz w:val="24"/>
          <w:szCs w:val="24"/>
          <w:lang w:val="en-US" w:eastAsia="zh-CN"/>
        </w:rPr>
        <w:t>较弱</w:t>
      </w:r>
      <w:r>
        <w:rPr>
          <w:rFonts w:hint="eastAsia" w:ascii="仿宋" w:hAnsi="仿宋" w:eastAsia="仿宋" w:cs="Times New Roman"/>
          <w:bCs/>
          <w:sz w:val="24"/>
          <w:szCs w:val="24"/>
        </w:rPr>
        <w:t xml:space="preserve">的得2分；管理方案内容缺失，措施不明确，操作性差的得1分；不提供不得分。 </w:t>
      </w:r>
    </w:p>
    <w:p w14:paraId="4A552207">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注：以上管理方案和措施需提供操作规范、检测设备场所等相关图片的证明材料。</w:t>
      </w:r>
    </w:p>
    <w:p w14:paraId="5164141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Cs/>
          <w:sz w:val="24"/>
          <w:szCs w:val="24"/>
        </w:rPr>
      </w:pPr>
      <w:r>
        <w:rPr>
          <w:rFonts w:hint="eastAsia" w:ascii="楷体_GB2312" w:hAnsi="仿宋" w:eastAsia="楷体_GB2312" w:cs="Times New Roman"/>
          <w:bCs/>
          <w:sz w:val="24"/>
          <w:szCs w:val="24"/>
        </w:rPr>
        <w:t>（八）服务团队配备（3分）</w:t>
      </w:r>
    </w:p>
    <w:p w14:paraId="486A5903">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1.</w:t>
      </w:r>
      <w:r>
        <w:rPr>
          <w:rFonts w:hint="eastAsia" w:ascii="仿宋" w:hAnsi="仿宋" w:eastAsia="仿宋" w:cs="Times New Roman"/>
          <w:bCs/>
          <w:sz w:val="24"/>
          <w:szCs w:val="24"/>
        </w:rPr>
        <w:t>根据投标单位为所投标段配备的项目负责人情况</w:t>
      </w:r>
      <w:r>
        <w:rPr>
          <w:rFonts w:ascii="仿宋" w:hAnsi="仿宋" w:eastAsia="仿宋" w:cs="Times New Roman"/>
          <w:bCs/>
          <w:sz w:val="24"/>
          <w:szCs w:val="24"/>
        </w:rPr>
        <w:t>进行</w:t>
      </w:r>
      <w:r>
        <w:rPr>
          <w:rFonts w:hint="eastAsia" w:ascii="仿宋" w:hAnsi="仿宋" w:eastAsia="仿宋" w:cs="Times New Roman"/>
          <w:bCs/>
          <w:sz w:val="24"/>
          <w:szCs w:val="24"/>
        </w:rPr>
        <w:t>评分（</w:t>
      </w:r>
      <w:r>
        <w:rPr>
          <w:rFonts w:ascii="仿宋" w:hAnsi="仿宋" w:eastAsia="仿宋" w:cs="Times New Roman"/>
          <w:bCs/>
          <w:sz w:val="24"/>
          <w:szCs w:val="24"/>
        </w:rPr>
        <w:t>2分）</w:t>
      </w:r>
      <w:r>
        <w:rPr>
          <w:rFonts w:hint="eastAsia" w:ascii="仿宋" w:hAnsi="仿宋" w:eastAsia="仿宋" w:cs="Times New Roman"/>
          <w:bCs/>
          <w:sz w:val="24"/>
          <w:szCs w:val="24"/>
        </w:rPr>
        <w:t>。项目</w:t>
      </w:r>
      <w:r>
        <w:rPr>
          <w:rFonts w:ascii="仿宋" w:hAnsi="仿宋" w:eastAsia="仿宋" w:cs="Times New Roman"/>
          <w:bCs/>
          <w:sz w:val="24"/>
          <w:szCs w:val="24"/>
        </w:rPr>
        <w:t>负责人</w:t>
      </w:r>
      <w:r>
        <w:rPr>
          <w:rFonts w:hint="eastAsia" w:ascii="仿宋" w:hAnsi="仿宋" w:eastAsia="仿宋" w:cs="Times New Roman"/>
          <w:bCs/>
          <w:sz w:val="24"/>
          <w:szCs w:val="24"/>
        </w:rPr>
        <w:t>具有本科及以上学历的，得</w:t>
      </w:r>
      <w:r>
        <w:rPr>
          <w:rFonts w:ascii="仿宋" w:hAnsi="仿宋" w:eastAsia="仿宋" w:cs="Times New Roman"/>
          <w:bCs/>
          <w:sz w:val="24"/>
          <w:szCs w:val="24"/>
        </w:rPr>
        <w:t>1</w:t>
      </w:r>
      <w:r>
        <w:rPr>
          <w:rFonts w:hint="eastAsia" w:ascii="仿宋" w:hAnsi="仿宋" w:eastAsia="仿宋" w:cs="Times New Roman"/>
          <w:bCs/>
          <w:sz w:val="24"/>
          <w:szCs w:val="24"/>
        </w:rPr>
        <w:t>分；具有</w:t>
      </w:r>
      <w:r>
        <w:rPr>
          <w:rFonts w:ascii="仿宋" w:hAnsi="仿宋" w:eastAsia="仿宋" w:cs="Times New Roman"/>
          <w:bCs/>
          <w:sz w:val="24"/>
          <w:szCs w:val="24"/>
        </w:rPr>
        <w:t>3</w:t>
      </w:r>
      <w:r>
        <w:rPr>
          <w:rFonts w:hint="eastAsia" w:ascii="仿宋" w:hAnsi="仿宋" w:eastAsia="仿宋" w:cs="Times New Roman"/>
          <w:bCs/>
          <w:sz w:val="24"/>
          <w:szCs w:val="24"/>
        </w:rPr>
        <w:t>年及以上类似项目经历的，得</w:t>
      </w:r>
      <w:r>
        <w:rPr>
          <w:rFonts w:ascii="仿宋" w:hAnsi="仿宋" w:eastAsia="仿宋" w:cs="Times New Roman"/>
          <w:bCs/>
          <w:sz w:val="24"/>
          <w:szCs w:val="24"/>
        </w:rPr>
        <w:t>1</w:t>
      </w:r>
      <w:r>
        <w:rPr>
          <w:rFonts w:hint="eastAsia" w:ascii="仿宋" w:hAnsi="仿宋" w:eastAsia="仿宋" w:cs="Times New Roman"/>
          <w:bCs/>
          <w:sz w:val="24"/>
          <w:szCs w:val="24"/>
        </w:rPr>
        <w:t>分。</w:t>
      </w:r>
    </w:p>
    <w:p w14:paraId="32E5985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除项目负责人外，为项目配备</w:t>
      </w:r>
      <w:r>
        <w:rPr>
          <w:rFonts w:ascii="仿宋" w:hAnsi="仿宋" w:eastAsia="仿宋" w:cs="Times New Roman"/>
          <w:bCs/>
          <w:sz w:val="24"/>
          <w:szCs w:val="24"/>
        </w:rPr>
        <w:t>2</w:t>
      </w:r>
      <w:r>
        <w:rPr>
          <w:rFonts w:hint="eastAsia" w:ascii="仿宋" w:hAnsi="仿宋" w:eastAsia="仿宋" w:cs="Times New Roman"/>
          <w:bCs/>
          <w:sz w:val="24"/>
          <w:szCs w:val="24"/>
        </w:rPr>
        <w:t>名骨干团队人员的，得</w:t>
      </w:r>
      <w:r>
        <w:rPr>
          <w:rFonts w:ascii="仿宋" w:hAnsi="仿宋" w:eastAsia="仿宋" w:cs="Times New Roman"/>
          <w:bCs/>
          <w:sz w:val="24"/>
          <w:szCs w:val="24"/>
        </w:rPr>
        <w:t>1</w:t>
      </w:r>
      <w:r>
        <w:rPr>
          <w:rFonts w:hint="eastAsia" w:ascii="仿宋" w:hAnsi="仿宋" w:eastAsia="仿宋" w:cs="Times New Roman"/>
          <w:bCs/>
          <w:sz w:val="24"/>
          <w:szCs w:val="24"/>
        </w:rPr>
        <w:t>分，</w:t>
      </w:r>
      <w:r>
        <w:rPr>
          <w:rFonts w:ascii="仿宋" w:hAnsi="仿宋" w:eastAsia="仿宋" w:cs="Times New Roman"/>
          <w:bCs/>
          <w:sz w:val="24"/>
          <w:szCs w:val="24"/>
        </w:rPr>
        <w:t>须提供</w:t>
      </w:r>
      <w:r>
        <w:rPr>
          <w:rFonts w:hint="eastAsia" w:ascii="仿宋" w:hAnsi="仿宋" w:eastAsia="仿宋" w:cs="Times New Roman"/>
          <w:bCs/>
          <w:sz w:val="24"/>
          <w:szCs w:val="24"/>
        </w:rPr>
        <w:t>人员名单和基本信息，否则不得分。</w:t>
      </w:r>
    </w:p>
    <w:p w14:paraId="31E54FFC">
      <w:pPr>
        <w:keepNext w:val="0"/>
        <w:keepLines w:val="0"/>
        <w:pageBreakBefore w:val="0"/>
        <w:widowControl w:val="0"/>
        <w:kinsoku/>
        <w:wordWrap/>
        <w:overflowPunct/>
        <w:topLinePunct w:val="0"/>
        <w:autoSpaceDE/>
        <w:autoSpaceDN/>
        <w:bidi w:val="0"/>
        <w:adjustRightInd/>
        <w:spacing w:line="500" w:lineRule="exact"/>
        <w:jc w:val="left"/>
        <w:textAlignment w:val="auto"/>
        <w:rPr>
          <w:rFonts w:ascii="仿宋" w:hAnsi="仿宋" w:eastAsia="仿宋" w:cs="Times New Roman"/>
          <w:b/>
          <w:sz w:val="24"/>
          <w:szCs w:val="24"/>
        </w:rPr>
      </w:pPr>
      <w:r>
        <w:rPr>
          <w:rFonts w:hint="eastAsia" w:ascii="仿宋" w:hAnsi="仿宋" w:eastAsia="仿宋" w:cs="Times New Roman"/>
          <w:b/>
          <w:sz w:val="24"/>
          <w:szCs w:val="24"/>
        </w:rPr>
        <w:t xml:space="preserve"> </w:t>
      </w:r>
      <w:r>
        <w:rPr>
          <w:rFonts w:ascii="仿宋" w:hAnsi="仿宋" w:eastAsia="仿宋" w:cs="Times New Roman"/>
          <w:b/>
          <w:sz w:val="24"/>
          <w:szCs w:val="24"/>
        </w:rPr>
        <w:t xml:space="preserve">  </w:t>
      </w:r>
      <w:r>
        <w:rPr>
          <w:rFonts w:hint="eastAsia" w:ascii="仿宋" w:hAnsi="仿宋" w:eastAsia="仿宋" w:cs="Times New Roman"/>
          <w:b/>
          <w:sz w:val="24"/>
          <w:szCs w:val="24"/>
        </w:rPr>
        <w:t>注：以上须提供学历证书、劳动合同等相关证明材料及投标单位近</w:t>
      </w:r>
      <w:r>
        <w:rPr>
          <w:rFonts w:ascii="仿宋" w:hAnsi="仿宋" w:eastAsia="仿宋" w:cs="Times New Roman"/>
          <w:b/>
          <w:sz w:val="24"/>
          <w:szCs w:val="24"/>
        </w:rPr>
        <w:t>3</w:t>
      </w:r>
      <w:r>
        <w:rPr>
          <w:rFonts w:hint="eastAsia" w:ascii="仿宋" w:hAnsi="仿宋" w:eastAsia="仿宋" w:cs="Times New Roman"/>
          <w:b/>
          <w:sz w:val="24"/>
          <w:szCs w:val="24"/>
        </w:rPr>
        <w:t>个月为其</w:t>
      </w:r>
      <w:r>
        <w:rPr>
          <w:rFonts w:ascii="仿宋" w:hAnsi="仿宋" w:eastAsia="仿宋" w:cs="Times New Roman"/>
          <w:b/>
          <w:sz w:val="24"/>
          <w:szCs w:val="24"/>
        </w:rPr>
        <w:t>缴纳的</w:t>
      </w:r>
      <w:r>
        <w:rPr>
          <w:rFonts w:hint="eastAsia" w:ascii="仿宋" w:hAnsi="仿宋" w:eastAsia="仿宋" w:cs="Times New Roman"/>
          <w:b/>
          <w:sz w:val="24"/>
          <w:szCs w:val="24"/>
        </w:rPr>
        <w:t>社保证明复印件，否则不得分。</w:t>
      </w:r>
    </w:p>
    <w:p w14:paraId="0480728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（九）食品安全责任险（3分）</w:t>
      </w:r>
    </w:p>
    <w:p w14:paraId="469BD78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投标单位连续三年及以上购买食品安全责任险，且每年总保额在</w:t>
      </w:r>
      <w:r>
        <w:rPr>
          <w:rFonts w:ascii="仿宋" w:hAnsi="仿宋" w:eastAsia="仿宋" w:cs="Times New Roman"/>
          <w:bCs/>
          <w:sz w:val="24"/>
          <w:szCs w:val="24"/>
        </w:rPr>
        <w:t>1000</w:t>
      </w:r>
      <w:r>
        <w:rPr>
          <w:rFonts w:hint="eastAsia" w:ascii="仿宋" w:hAnsi="仿宋" w:eastAsia="仿宋" w:cs="Times New Roman"/>
          <w:bCs/>
          <w:sz w:val="24"/>
          <w:szCs w:val="24"/>
        </w:rPr>
        <w:t>万元及以上的，得</w:t>
      </w:r>
      <w:r>
        <w:rPr>
          <w:rFonts w:ascii="仿宋" w:hAnsi="仿宋" w:eastAsia="仿宋" w:cs="Times New Roman"/>
          <w:bCs/>
          <w:sz w:val="24"/>
          <w:szCs w:val="24"/>
        </w:rPr>
        <w:t>3</w:t>
      </w:r>
      <w:r>
        <w:rPr>
          <w:rFonts w:hint="eastAsia" w:ascii="仿宋" w:hAnsi="仿宋" w:eastAsia="仿宋" w:cs="Times New Roman"/>
          <w:bCs/>
          <w:sz w:val="24"/>
          <w:szCs w:val="24"/>
        </w:rPr>
        <w:t>分；投标单位连续三年购买食品安全责任险，且年总保额在</w:t>
      </w:r>
      <w:r>
        <w:rPr>
          <w:rFonts w:ascii="仿宋" w:hAnsi="仿宋" w:eastAsia="仿宋" w:cs="Times New Roman"/>
          <w:bCs/>
          <w:sz w:val="24"/>
          <w:szCs w:val="24"/>
        </w:rPr>
        <w:t>500</w:t>
      </w:r>
      <w:r>
        <w:rPr>
          <w:rFonts w:hint="eastAsia" w:ascii="仿宋" w:hAnsi="仿宋" w:eastAsia="仿宋" w:cs="Times New Roman"/>
          <w:bCs/>
          <w:sz w:val="24"/>
          <w:szCs w:val="24"/>
        </w:rPr>
        <w:t>万元及以上、</w:t>
      </w:r>
      <w:r>
        <w:rPr>
          <w:rFonts w:ascii="仿宋" w:hAnsi="仿宋" w:eastAsia="仿宋" w:cs="Times New Roman"/>
          <w:bCs/>
          <w:sz w:val="24"/>
          <w:szCs w:val="24"/>
        </w:rPr>
        <w:t>1000</w:t>
      </w:r>
      <w:r>
        <w:rPr>
          <w:rFonts w:hint="eastAsia" w:ascii="仿宋" w:hAnsi="仿宋" w:eastAsia="仿宋" w:cs="Times New Roman"/>
          <w:bCs/>
          <w:sz w:val="24"/>
          <w:szCs w:val="24"/>
        </w:rPr>
        <w:t>万元以下的，得</w:t>
      </w:r>
      <w:r>
        <w:rPr>
          <w:rFonts w:ascii="仿宋" w:hAnsi="仿宋" w:eastAsia="仿宋" w:cs="Times New Roman"/>
          <w:bCs/>
          <w:sz w:val="24"/>
          <w:szCs w:val="24"/>
        </w:rPr>
        <w:t>2</w:t>
      </w:r>
      <w:r>
        <w:rPr>
          <w:rFonts w:hint="eastAsia" w:ascii="仿宋" w:hAnsi="仿宋" w:eastAsia="仿宋" w:cs="Times New Roman"/>
          <w:bCs/>
          <w:sz w:val="24"/>
          <w:szCs w:val="24"/>
        </w:rPr>
        <w:t>分；投标单位连续三年购买食品安全责任险，年总保额在</w:t>
      </w:r>
      <w:r>
        <w:rPr>
          <w:rFonts w:ascii="仿宋" w:hAnsi="仿宋" w:eastAsia="仿宋" w:cs="Times New Roman"/>
          <w:bCs/>
          <w:sz w:val="24"/>
          <w:szCs w:val="24"/>
        </w:rPr>
        <w:t>500</w:t>
      </w:r>
      <w:r>
        <w:rPr>
          <w:rFonts w:hint="eastAsia" w:ascii="仿宋" w:hAnsi="仿宋" w:eastAsia="仿宋" w:cs="Times New Roman"/>
          <w:bCs/>
          <w:sz w:val="24"/>
          <w:szCs w:val="24"/>
        </w:rPr>
        <w:t>万元以下的，得</w:t>
      </w:r>
      <w:r>
        <w:rPr>
          <w:rFonts w:ascii="仿宋" w:hAnsi="仿宋" w:eastAsia="仿宋" w:cs="Times New Roman"/>
          <w:bCs/>
          <w:sz w:val="24"/>
          <w:szCs w:val="24"/>
        </w:rPr>
        <w:t>1</w:t>
      </w:r>
      <w:r>
        <w:rPr>
          <w:rFonts w:hint="eastAsia" w:ascii="仿宋" w:hAnsi="仿宋" w:eastAsia="仿宋" w:cs="Times New Roman"/>
          <w:bCs/>
          <w:sz w:val="24"/>
          <w:szCs w:val="24"/>
        </w:rPr>
        <w:t>分。其他情况不得分。</w:t>
      </w:r>
    </w:p>
    <w:p w14:paraId="61AF7F2C">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注：以上须提供保险公司出具的“食品安全责任保险”保单的复印件，不提供不得分。</w:t>
      </w:r>
    </w:p>
    <w:p w14:paraId="189C61C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
          <w:sz w:val="24"/>
          <w:szCs w:val="24"/>
        </w:rPr>
      </w:pPr>
      <w:r>
        <w:rPr>
          <w:rFonts w:hint="eastAsia" w:ascii="楷体_GB2312" w:hAnsi="仿宋" w:eastAsia="楷体_GB2312" w:cs="Times New Roman"/>
          <w:bCs/>
          <w:sz w:val="24"/>
          <w:szCs w:val="24"/>
        </w:rPr>
        <w:t>（十）</w:t>
      </w:r>
      <w:r>
        <w:rPr>
          <w:rFonts w:hint="eastAsia" w:ascii="楷体_GB2312" w:hAnsi="仿宋" w:eastAsia="楷体_GB2312" w:cs="Times New Roman"/>
          <w:sz w:val="24"/>
          <w:szCs w:val="24"/>
        </w:rPr>
        <w:t>应急处理实施方案（</w:t>
      </w:r>
      <w:r>
        <w:rPr>
          <w:rFonts w:ascii="楷体_GB2312" w:hAnsi="仿宋" w:eastAsia="楷体_GB2312" w:cs="Times New Roman"/>
          <w:sz w:val="24"/>
          <w:szCs w:val="24"/>
        </w:rPr>
        <w:t>10</w:t>
      </w:r>
      <w:r>
        <w:rPr>
          <w:rFonts w:hint="eastAsia" w:ascii="楷体_GB2312" w:hAnsi="仿宋" w:eastAsia="楷体_GB2312" w:cs="Times New Roman"/>
          <w:sz w:val="24"/>
          <w:szCs w:val="24"/>
        </w:rPr>
        <w:t>分）</w:t>
      </w:r>
    </w:p>
    <w:p w14:paraId="47FE35A5">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应急处理实施方案（应急保供能力、应急预案、应急保供方案等），主要考察应急工作保障团队、物资采购渠道、储备情况、配送能力、应急联系方式（24小时待命），食品流通环节过程中出现问题的应急预案，受暴雨、冰灾、雪灾等影响期间提供的应急保供方案。</w:t>
      </w:r>
    </w:p>
    <w:p w14:paraId="3175F41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应急处理实施方案完善、细致，操作性强的得</w:t>
      </w:r>
      <w:r>
        <w:rPr>
          <w:rFonts w:ascii="仿宋" w:hAnsi="仿宋" w:eastAsia="仿宋" w:cs="Times New Roman"/>
          <w:sz w:val="24"/>
          <w:szCs w:val="24"/>
        </w:rPr>
        <w:t>10</w:t>
      </w:r>
      <w:r>
        <w:rPr>
          <w:rFonts w:hint="eastAsia" w:ascii="仿宋" w:hAnsi="仿宋" w:eastAsia="仿宋" w:cs="Times New Roman"/>
          <w:sz w:val="24"/>
          <w:szCs w:val="24"/>
        </w:rPr>
        <w:t xml:space="preserve"> 分；应急处理实施方案较完善、细致，操作性较强的得7分；应急处理实施方案</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w:t>
      </w:r>
      <w:r>
        <w:rPr>
          <w:rFonts w:hint="eastAsia" w:ascii="仿宋" w:hAnsi="仿宋" w:eastAsia="仿宋" w:cs="Times New Roman"/>
          <w:sz w:val="24"/>
          <w:szCs w:val="24"/>
          <w:lang w:val="en-US" w:eastAsia="zh-CN"/>
        </w:rPr>
        <w:t>有一定</w:t>
      </w:r>
      <w:r>
        <w:rPr>
          <w:rFonts w:hint="eastAsia" w:ascii="仿宋" w:hAnsi="仿宋" w:eastAsia="仿宋" w:cs="Times New Roman"/>
          <w:sz w:val="24"/>
          <w:szCs w:val="24"/>
        </w:rPr>
        <w:t>操作性的得4分；应急处理实施方案内容欠缺，操作性较差的得</w:t>
      </w:r>
      <w:r>
        <w:rPr>
          <w:rFonts w:ascii="仿宋" w:hAnsi="仿宋" w:eastAsia="仿宋" w:cs="Times New Roman"/>
          <w:sz w:val="24"/>
          <w:szCs w:val="24"/>
        </w:rPr>
        <w:t>1</w:t>
      </w:r>
      <w:r>
        <w:rPr>
          <w:rFonts w:hint="eastAsia" w:ascii="仿宋" w:hAnsi="仿宋" w:eastAsia="仿宋" w:cs="Times New Roman"/>
          <w:sz w:val="24"/>
          <w:szCs w:val="24"/>
        </w:rPr>
        <w:t>分；不提供不得分。</w:t>
      </w:r>
    </w:p>
    <w:p w14:paraId="578555BE">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（十一）服务承诺和优惠措施（3分）</w:t>
      </w:r>
    </w:p>
    <w:p w14:paraId="48DF1CF3">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提供服务承诺和优惠措施，包括但不限于：保证抽检时无不合格项、配送时效性承诺、加急配送、免费（临超期）退换货、赔偿、质量保证承诺、给学校提供的优惠措施等。</w:t>
      </w:r>
    </w:p>
    <w:p w14:paraId="322E8485">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服务承诺完善详细，优惠措施合理，操作性强的得</w:t>
      </w:r>
      <w:r>
        <w:rPr>
          <w:rFonts w:ascii="仿宋" w:hAnsi="仿宋" w:eastAsia="仿宋" w:cs="Times New Roman"/>
          <w:sz w:val="24"/>
          <w:szCs w:val="24"/>
        </w:rPr>
        <w:t>3</w:t>
      </w:r>
      <w:r>
        <w:rPr>
          <w:rFonts w:hint="eastAsia" w:ascii="仿宋" w:hAnsi="仿宋" w:eastAsia="仿宋" w:cs="Times New Roman"/>
          <w:sz w:val="24"/>
          <w:szCs w:val="24"/>
        </w:rPr>
        <w:t>分；服务承诺完善较详细，优惠措施较合理，操作性较强的得2分；服务承诺</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，优惠措施</w:t>
      </w:r>
      <w:r>
        <w:rPr>
          <w:rFonts w:hint="eastAsia" w:ascii="仿宋" w:hAnsi="仿宋" w:eastAsia="仿宋" w:cs="Times New Roman"/>
          <w:sz w:val="24"/>
          <w:szCs w:val="24"/>
          <w:lang w:val="en-US" w:eastAsia="zh-CN"/>
        </w:rPr>
        <w:t>力度不强</w:t>
      </w:r>
      <w:r>
        <w:rPr>
          <w:rFonts w:hint="eastAsia" w:ascii="仿宋" w:hAnsi="仿宋" w:eastAsia="仿宋" w:cs="Times New Roman"/>
          <w:sz w:val="24"/>
          <w:szCs w:val="24"/>
        </w:rPr>
        <w:t>，操作性</w:t>
      </w:r>
      <w:r>
        <w:rPr>
          <w:rFonts w:hint="eastAsia" w:ascii="仿宋" w:hAnsi="仿宋" w:eastAsia="仿宋" w:cs="Times New Roman"/>
          <w:sz w:val="24"/>
          <w:szCs w:val="24"/>
          <w:lang w:val="en-US" w:eastAsia="zh-CN"/>
        </w:rPr>
        <w:t>较弱</w:t>
      </w:r>
      <w:r>
        <w:rPr>
          <w:rFonts w:hint="eastAsia" w:ascii="仿宋" w:hAnsi="仿宋" w:eastAsia="仿宋" w:cs="Times New Roman"/>
          <w:sz w:val="24"/>
          <w:szCs w:val="24"/>
        </w:rPr>
        <w:t>的得1分</w:t>
      </w:r>
      <w:r>
        <w:rPr>
          <w:rFonts w:hint="eastAsia" w:ascii="仿宋" w:hAnsi="仿宋" w:eastAsia="仿宋" w:cs="Times New Roman"/>
          <w:sz w:val="24"/>
          <w:szCs w:val="24"/>
          <w:lang w:eastAsia="zh-CN"/>
        </w:rPr>
        <w:t>；</w:t>
      </w:r>
      <w:r>
        <w:rPr>
          <w:rFonts w:hint="eastAsia" w:ascii="仿宋" w:hAnsi="仿宋" w:eastAsia="仿宋" w:cs="Times New Roman"/>
          <w:sz w:val="24"/>
          <w:szCs w:val="24"/>
        </w:rPr>
        <w:t>不提供不得分。</w:t>
      </w:r>
    </w:p>
    <w:bookmarkEnd w:id="0"/>
    <w:p w14:paraId="57F232D1">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235F1177">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2F223F73">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5CECD590">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6C39B547">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r>
        <w:rPr>
          <w:rFonts w:hint="eastAsia" w:ascii="方正小标宋_GBK" w:hAnsi="等线" w:eastAsia="方正小标宋_GBK" w:cs="Times New Roman"/>
          <w:sz w:val="36"/>
          <w:szCs w:val="36"/>
          <w:lang w:val="en-US" w:eastAsia="zh-CN"/>
        </w:rPr>
        <w:t>2025年</w:t>
      </w:r>
      <w:r>
        <w:rPr>
          <w:rFonts w:hint="eastAsia" w:ascii="方正小标宋_GBK" w:hAnsi="等线" w:eastAsia="方正小标宋_GBK" w:cs="Times New Roman"/>
          <w:sz w:val="36"/>
          <w:szCs w:val="36"/>
        </w:rPr>
        <w:t>苏州大学食堂伙食物资供应商评分标准</w:t>
      </w:r>
    </w:p>
    <w:p w14:paraId="2DA57798">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黑体" w:hAnsi="黑体" w:eastAsia="黑体" w:cs="Times New Roman"/>
          <w:sz w:val="28"/>
          <w:szCs w:val="28"/>
        </w:rPr>
      </w:pPr>
      <w:r>
        <w:rPr>
          <w:rFonts w:hint="eastAsia" w:ascii="黑体" w:hAnsi="黑体" w:eastAsia="黑体" w:cs="Times New Roman"/>
          <w:sz w:val="28"/>
          <w:szCs w:val="28"/>
        </w:rPr>
        <w:t>（适用于标段2：豆制品）</w:t>
      </w:r>
    </w:p>
    <w:p w14:paraId="23482CF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bCs/>
          <w:color w:val="000000"/>
          <w:kern w:val="0"/>
          <w:sz w:val="24"/>
          <w:szCs w:val="24"/>
        </w:rPr>
        <w:t>本次招标采用综合评分法，总分为</w:t>
      </w:r>
      <w:r>
        <w:rPr>
          <w:rFonts w:ascii="仿宋" w:hAnsi="仿宋" w:eastAsia="仿宋" w:cs="Times New Roman"/>
          <w:bCs/>
          <w:color w:val="000000"/>
          <w:kern w:val="0"/>
          <w:sz w:val="24"/>
          <w:szCs w:val="24"/>
        </w:rPr>
        <w:t>100</w:t>
      </w:r>
      <w:r>
        <w:rPr>
          <w:rFonts w:hint="eastAsia" w:ascii="仿宋" w:hAnsi="仿宋" w:eastAsia="仿宋" w:cs="Times New Roman"/>
          <w:bCs/>
          <w:color w:val="000000"/>
          <w:kern w:val="0"/>
          <w:sz w:val="24"/>
          <w:szCs w:val="24"/>
        </w:rPr>
        <w:t>分，具体内容如下：</w:t>
      </w:r>
    </w:p>
    <w:p w14:paraId="6681546D">
      <w:pPr>
        <w:keepNext w:val="0"/>
        <w:keepLines w:val="0"/>
        <w:pageBreakBefore w:val="0"/>
        <w:widowControl w:val="0"/>
        <w:kinsoku/>
        <w:wordWrap/>
        <w:overflowPunct/>
        <w:topLinePunct w:val="0"/>
        <w:autoSpaceDE/>
        <w:autoSpaceDN/>
        <w:bidi w:val="0"/>
        <w:adjustRightInd/>
        <w:spacing w:line="500" w:lineRule="exact"/>
        <w:ind w:firstLine="240" w:firstLineChars="100"/>
        <w:jc w:val="left"/>
        <w:textAlignment w:val="auto"/>
        <w:rPr>
          <w:rFonts w:ascii="楷体_GB2312" w:hAnsi="仿宋" w:eastAsia="楷体_GB2312" w:cs="Times New Roman"/>
          <w:sz w:val="24"/>
          <w:szCs w:val="24"/>
        </w:rPr>
      </w:pPr>
      <w:r>
        <w:rPr>
          <w:rFonts w:hint="eastAsia" w:ascii="楷体_GB2312" w:hAnsi="仿宋" w:eastAsia="楷体_GB2312" w:cs="Times New Roman"/>
          <w:bCs/>
          <w:sz w:val="24"/>
          <w:szCs w:val="24"/>
        </w:rPr>
        <w:t>（一）</w:t>
      </w:r>
      <w:r>
        <w:rPr>
          <w:rFonts w:hint="eastAsia" w:ascii="楷体_GB2312" w:hAnsi="仿宋" w:eastAsia="楷体_GB2312" w:cs="Times New Roman"/>
          <w:sz w:val="24"/>
          <w:szCs w:val="24"/>
        </w:rPr>
        <w:t>价格分 （35分）</w:t>
      </w:r>
    </w:p>
    <w:p w14:paraId="2C131FB8">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价格分采用低价优先法计算，即在所有投标单位标的物清单各项明细报价中选择最低的报价确定为该项明细报价的基准报价。</w:t>
      </w:r>
    </w:p>
    <w:p w14:paraId="2E8B8C72">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.将该项明细项所有合格投标人报价与该明细项的基准报价相比较：等于基准报价的该项明细得满分，其他投标人的该项明细价格分按照下列公式计算（计算结果四舍五入保留两位小数）：</w:t>
      </w:r>
      <w:r>
        <w:rPr>
          <w:rFonts w:hint="eastAsia" w:ascii="仿宋" w:hAnsi="仿宋" w:eastAsia="仿宋" w:cs="Times New Roman"/>
          <w:b/>
          <w:bCs/>
          <w:sz w:val="24"/>
          <w:szCs w:val="24"/>
        </w:rPr>
        <w:t>明细项投标报价得分=(明细项基准报价/明细项投标报价)*35</w:t>
      </w:r>
      <w:r>
        <w:rPr>
          <w:rFonts w:ascii="仿宋" w:hAnsi="仿宋" w:eastAsia="仿宋" w:cs="Times New Roman"/>
          <w:b/>
          <w:bCs/>
          <w:sz w:val="24"/>
          <w:szCs w:val="24"/>
        </w:rPr>
        <w:t>%</w:t>
      </w:r>
      <w:r>
        <w:rPr>
          <w:rFonts w:hint="eastAsia" w:ascii="仿宋" w:hAnsi="仿宋" w:eastAsia="仿宋" w:cs="Times New Roman"/>
          <w:b/>
          <w:bCs/>
          <w:sz w:val="24"/>
          <w:szCs w:val="24"/>
        </w:rPr>
        <w:t>*</w:t>
      </w:r>
      <w:r>
        <w:rPr>
          <w:rFonts w:ascii="仿宋" w:hAnsi="仿宋" w:eastAsia="仿宋" w:cs="Times New Roman"/>
          <w:b/>
          <w:bCs/>
          <w:sz w:val="24"/>
          <w:szCs w:val="24"/>
        </w:rPr>
        <w:t>100</w:t>
      </w:r>
    </w:p>
    <w:p w14:paraId="47F7D1E6">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sz w:val="24"/>
          <w:szCs w:val="24"/>
        </w:rPr>
      </w:pPr>
      <w:r>
        <w:rPr>
          <w:rFonts w:ascii="仿宋" w:hAnsi="仿宋" w:eastAsia="仿宋" w:cs="Times New Roman"/>
          <w:b/>
          <w:bCs/>
          <w:sz w:val="24"/>
          <w:szCs w:val="24"/>
        </w:rPr>
        <w:t>3.</w:t>
      </w:r>
      <w:r>
        <w:rPr>
          <w:rFonts w:hint="eastAsia" w:ascii="仿宋" w:hAnsi="仿宋" w:eastAsia="仿宋" w:cs="Times New Roman"/>
          <w:b/>
          <w:bCs/>
          <w:sz w:val="24"/>
          <w:szCs w:val="24"/>
          <w:lang w:val="en-US" w:eastAsia="zh-CN"/>
        </w:rPr>
        <w:t>各投标人</w:t>
      </w:r>
      <w:r>
        <w:rPr>
          <w:rFonts w:hint="eastAsia" w:ascii="仿宋" w:hAnsi="仿宋" w:eastAsia="仿宋" w:cs="Times New Roman"/>
          <w:b/>
          <w:bCs/>
          <w:sz w:val="24"/>
          <w:szCs w:val="24"/>
        </w:rPr>
        <w:t>投标报价得分＝各明细项投标报价得分汇总</w:t>
      </w:r>
      <w:r>
        <w:rPr>
          <w:rFonts w:ascii="仿宋" w:hAnsi="仿宋" w:eastAsia="仿宋" w:cs="Times New Roman"/>
          <w:b/>
          <w:bCs/>
          <w:sz w:val="24"/>
          <w:szCs w:val="24"/>
        </w:rPr>
        <w:t>/</w:t>
      </w:r>
      <w:r>
        <w:rPr>
          <w:rFonts w:hint="eastAsia" w:ascii="仿宋" w:hAnsi="仿宋" w:eastAsia="仿宋" w:cs="Times New Roman"/>
          <w:b/>
          <w:bCs/>
          <w:sz w:val="24"/>
          <w:szCs w:val="24"/>
        </w:rPr>
        <w:t>明细项目总个数</w:t>
      </w:r>
    </w:p>
    <w:p w14:paraId="22A17683">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w:t>
      </w:r>
      <w:r>
        <w:rPr>
          <w:rFonts w:ascii="仿宋" w:hAnsi="仿宋" w:eastAsia="仿宋" w:cs="Times New Roman"/>
          <w:b/>
          <w:bCs/>
          <w:color w:val="FF0000"/>
          <w:kern w:val="0"/>
          <w:sz w:val="24"/>
          <w:szCs w:val="24"/>
        </w:rPr>
        <w:t>1）</w:t>
      </w:r>
      <w:r>
        <w:rPr>
          <w:rFonts w:hint="eastAsia" w:ascii="仿宋" w:hAnsi="仿宋" w:eastAsia="仿宋" w:cs="Times New Roman"/>
          <w:b/>
          <w:bCs/>
          <w:color w:val="FF0000"/>
          <w:kern w:val="0"/>
          <w:sz w:val="24"/>
          <w:szCs w:val="24"/>
        </w:rPr>
        <w:t>开标后五分钟内，须</w:t>
      </w:r>
      <w:r>
        <w:rPr>
          <w:rFonts w:ascii="仿宋" w:hAnsi="仿宋" w:eastAsia="仿宋" w:cs="Times New Roman"/>
          <w:b/>
          <w:bCs/>
          <w:color w:val="FF0000"/>
          <w:kern w:val="0"/>
          <w:sz w:val="24"/>
          <w:szCs w:val="24"/>
        </w:rPr>
        <w:t>将</w:t>
      </w:r>
      <w:r>
        <w:rPr>
          <w:rFonts w:hint="eastAsia" w:ascii="仿宋" w:hAnsi="仿宋" w:eastAsia="仿宋" w:cs="Times New Roman"/>
          <w:b/>
          <w:bCs/>
          <w:color w:val="FF0000"/>
          <w:kern w:val="0"/>
          <w:sz w:val="24"/>
          <w:szCs w:val="24"/>
        </w:rPr>
        <w:t>投标报价表Excel版，通过电子邮件发送至xnchen</w:t>
      </w:r>
      <w:r>
        <w:rPr>
          <w:rFonts w:ascii="仿宋" w:hAnsi="仿宋" w:eastAsia="仿宋" w:cs="Times New Roman"/>
          <w:b/>
          <w:bCs/>
          <w:color w:val="FF0000"/>
          <w:kern w:val="0"/>
          <w:sz w:val="24"/>
          <w:szCs w:val="24"/>
        </w:rPr>
        <w:t>@suda.edu.cn</w:t>
      </w:r>
      <w:r>
        <w:rPr>
          <w:rFonts w:hint="eastAsia" w:ascii="仿宋" w:hAnsi="仿宋" w:eastAsia="仿宋" w:cs="Times New Roman"/>
          <w:b/>
          <w:bCs/>
          <w:color w:val="FF0000"/>
          <w:kern w:val="0"/>
          <w:sz w:val="24"/>
          <w:szCs w:val="24"/>
        </w:rPr>
        <w:t>。</w:t>
      </w:r>
    </w:p>
    <w:p w14:paraId="5E588ADE">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（2）投标报价</w:t>
      </w:r>
      <w:r>
        <w:rPr>
          <w:rFonts w:ascii="仿宋" w:hAnsi="仿宋" w:eastAsia="仿宋" w:cs="Times New Roman"/>
          <w:b/>
          <w:bCs/>
          <w:color w:val="FF0000"/>
          <w:kern w:val="0"/>
          <w:sz w:val="24"/>
          <w:szCs w:val="24"/>
        </w:rPr>
        <w:t>表</w:t>
      </w:r>
      <w:r>
        <w:rPr>
          <w:rFonts w:hint="eastAsia" w:ascii="仿宋" w:hAnsi="仿宋" w:eastAsia="仿宋" w:cs="Times New Roman"/>
          <w:b/>
          <w:bCs/>
          <w:color w:val="FF0000"/>
          <w:kern w:val="0"/>
          <w:sz w:val="24"/>
          <w:szCs w:val="24"/>
        </w:rPr>
        <w:t>不得作</w:t>
      </w:r>
      <w:r>
        <w:rPr>
          <w:rFonts w:ascii="仿宋" w:hAnsi="仿宋" w:eastAsia="仿宋" w:cs="Times New Roman"/>
          <w:b/>
          <w:bCs/>
          <w:color w:val="FF0000"/>
          <w:kern w:val="0"/>
          <w:sz w:val="24"/>
          <w:szCs w:val="24"/>
        </w:rPr>
        <w:t>任何变</w:t>
      </w:r>
      <w:r>
        <w:rPr>
          <w:rFonts w:hint="eastAsia" w:ascii="仿宋" w:hAnsi="仿宋" w:eastAsia="仿宋" w:cs="Times New Roman"/>
          <w:b/>
          <w:bCs/>
          <w:color w:val="FF0000"/>
          <w:kern w:val="0"/>
          <w:sz w:val="24"/>
          <w:szCs w:val="24"/>
        </w:rPr>
        <w:t>更，其明细内容及顺序若有调整，将视为非实质性响应。</w:t>
      </w:r>
    </w:p>
    <w:p w14:paraId="720A591E">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color w:val="FF0000"/>
          <w:kern w:val="0"/>
          <w:sz w:val="24"/>
          <w:szCs w:val="24"/>
        </w:rPr>
        <w:t>（3）投标人未按报价文件格式要求报价，或出现少报、漏报的，均按无效投标处理。</w:t>
      </w:r>
    </w:p>
    <w:p w14:paraId="3B5BCB57">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4A92760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highlight w:val="none"/>
        </w:rPr>
      </w:pPr>
      <w:r>
        <w:rPr>
          <w:rFonts w:hint="eastAsia" w:ascii="楷体_GB2312" w:hAnsi="仿宋" w:eastAsia="楷体_GB2312" w:cs="Times New Roman"/>
          <w:sz w:val="24"/>
          <w:szCs w:val="24"/>
          <w:highlight w:val="none"/>
        </w:rPr>
        <w:t>（二）品牌</w:t>
      </w:r>
      <w:r>
        <w:rPr>
          <w:rFonts w:hint="eastAsia" w:ascii="楷体_GB2312" w:hAnsi="仿宋" w:eastAsia="楷体_GB2312" w:cs="Times New Roman"/>
          <w:sz w:val="24"/>
          <w:szCs w:val="24"/>
          <w:highlight w:val="none"/>
          <w:lang w:val="en-US" w:eastAsia="zh-CN"/>
        </w:rPr>
        <w:t>认可度</w:t>
      </w:r>
      <w:r>
        <w:rPr>
          <w:rFonts w:hint="eastAsia" w:ascii="楷体_GB2312" w:hAnsi="仿宋" w:eastAsia="楷体_GB2312" w:cs="Times New Roman"/>
          <w:sz w:val="24"/>
          <w:szCs w:val="24"/>
          <w:highlight w:val="none"/>
        </w:rPr>
        <w:t>（3分）</w:t>
      </w:r>
    </w:p>
    <w:p w14:paraId="273CD824">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highlight w:val="none"/>
        </w:rPr>
      </w:pPr>
      <w:r>
        <w:rPr>
          <w:rFonts w:hint="eastAsia" w:ascii="仿宋" w:hAnsi="仿宋" w:eastAsia="仿宋" w:cs="Times New Roman"/>
          <w:sz w:val="24"/>
          <w:szCs w:val="24"/>
          <w:highlight w:val="none"/>
        </w:rPr>
        <w:t>所投产品的品牌</w:t>
      </w:r>
      <w:r>
        <w:rPr>
          <w:rFonts w:hint="eastAsia" w:ascii="仿宋" w:hAnsi="仿宋" w:eastAsia="仿宋" w:cs="Times New Roman"/>
          <w:sz w:val="24"/>
          <w:szCs w:val="24"/>
          <w:highlight w:val="none"/>
          <w:lang w:val="en-US" w:eastAsia="zh-CN"/>
        </w:rPr>
        <w:t>认可度高</w:t>
      </w:r>
      <w:r>
        <w:rPr>
          <w:rFonts w:hint="eastAsia" w:ascii="仿宋" w:hAnsi="仿宋" w:eastAsia="仿宋" w:cs="Times New Roman"/>
          <w:sz w:val="24"/>
          <w:szCs w:val="24"/>
          <w:highlight w:val="none"/>
        </w:rPr>
        <w:t>，优于项目采购需求的，得3分；品牌</w:t>
      </w:r>
      <w:r>
        <w:rPr>
          <w:rFonts w:hint="eastAsia" w:ascii="仿宋" w:hAnsi="仿宋" w:eastAsia="仿宋" w:cs="Times New Roman"/>
          <w:sz w:val="24"/>
          <w:szCs w:val="24"/>
          <w:highlight w:val="none"/>
          <w:lang w:val="en-US" w:eastAsia="zh-CN"/>
        </w:rPr>
        <w:t>认可度</w:t>
      </w:r>
      <w:r>
        <w:rPr>
          <w:rFonts w:hint="eastAsia" w:ascii="仿宋" w:hAnsi="仿宋" w:eastAsia="仿宋" w:cs="Times New Roman"/>
          <w:sz w:val="24"/>
          <w:szCs w:val="24"/>
          <w:highlight w:val="none"/>
        </w:rPr>
        <w:t>较</w:t>
      </w:r>
      <w:r>
        <w:rPr>
          <w:rFonts w:hint="eastAsia" w:ascii="仿宋" w:hAnsi="仿宋" w:eastAsia="仿宋" w:cs="Times New Roman"/>
          <w:sz w:val="24"/>
          <w:szCs w:val="24"/>
          <w:highlight w:val="none"/>
          <w:lang w:val="en-US" w:eastAsia="zh-CN"/>
        </w:rPr>
        <w:t>高</w:t>
      </w:r>
      <w:r>
        <w:rPr>
          <w:rFonts w:hint="eastAsia" w:ascii="仿宋" w:hAnsi="仿宋" w:eastAsia="仿宋" w:cs="Times New Roman"/>
          <w:sz w:val="24"/>
          <w:szCs w:val="24"/>
          <w:highlight w:val="none"/>
        </w:rPr>
        <w:t>，较能满足项目采购需求的，得2分；品牌</w:t>
      </w:r>
      <w:r>
        <w:rPr>
          <w:rFonts w:hint="eastAsia" w:ascii="仿宋" w:hAnsi="仿宋" w:eastAsia="仿宋" w:cs="Times New Roman"/>
          <w:sz w:val="24"/>
          <w:szCs w:val="24"/>
          <w:highlight w:val="none"/>
          <w:lang w:val="en-US" w:eastAsia="zh-CN"/>
        </w:rPr>
        <w:t>认可度</w:t>
      </w:r>
      <w:r>
        <w:rPr>
          <w:rFonts w:hint="eastAsia" w:ascii="仿宋" w:hAnsi="仿宋" w:eastAsia="仿宋" w:cs="Times New Roman"/>
          <w:sz w:val="24"/>
          <w:szCs w:val="24"/>
          <w:highlight w:val="none"/>
        </w:rPr>
        <w:t>一般，基本满足项目采购需求的，得1分。</w:t>
      </w:r>
    </w:p>
    <w:p w14:paraId="6A13410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highlight w:val="none"/>
        </w:rPr>
      </w:pPr>
      <w:r>
        <w:rPr>
          <w:rFonts w:hint="eastAsia" w:ascii="楷体_GB2312" w:hAnsi="仿宋" w:eastAsia="楷体_GB2312" w:cs="Times New Roman"/>
          <w:sz w:val="24"/>
          <w:szCs w:val="24"/>
          <w:highlight w:val="none"/>
        </w:rPr>
        <w:t>（三）采购渠道（3分）</w:t>
      </w:r>
    </w:p>
    <w:p w14:paraId="2A45D66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仿宋" w:hAnsi="仿宋" w:eastAsia="仿宋" w:cs="Times New Roman"/>
          <w:sz w:val="24"/>
          <w:szCs w:val="24"/>
          <w:highlight w:val="none"/>
        </w:rPr>
      </w:pPr>
      <w:r>
        <w:rPr>
          <w:rFonts w:hint="eastAsia" w:ascii="仿宋" w:hAnsi="仿宋" w:eastAsia="仿宋" w:cs="Times New Roman"/>
          <w:sz w:val="24"/>
          <w:szCs w:val="24"/>
          <w:highlight w:val="none"/>
        </w:rPr>
        <w:t>投标单位所投产品的原材料有保障、品质好，所投产品由投标单位生产，产品质量佳的，得3分；原材料有保障、品质较好，所投产品由投标单位生产，产品质量较佳的，得2分；原材料品质有保障，所投产品非投标单位生产，产品质量可靠的，得1分。不满足该项要求或不提供不得分。</w:t>
      </w:r>
    </w:p>
    <w:p w14:paraId="4257111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highlight w:val="none"/>
        </w:rPr>
      </w:pPr>
      <w:r>
        <w:rPr>
          <w:rFonts w:hint="eastAsia" w:ascii="仿宋" w:hAnsi="仿宋" w:eastAsia="仿宋" w:cs="Times New Roman"/>
          <w:sz w:val="24"/>
          <w:szCs w:val="24"/>
          <w:highlight w:val="none"/>
          <w:lang w:val="en-US" w:eastAsia="zh-CN"/>
        </w:rPr>
        <w:t>注：</w:t>
      </w:r>
      <w:r>
        <w:rPr>
          <w:rFonts w:hint="eastAsia" w:ascii="仿宋" w:hAnsi="仿宋" w:eastAsia="仿宋" w:cs="宋体"/>
          <w:bCs/>
          <w:color w:val="000000"/>
          <w:kern w:val="0"/>
          <w:sz w:val="24"/>
          <w:szCs w:val="24"/>
          <w:highlight w:val="none"/>
          <w:lang w:val="en-US" w:eastAsia="zh-CN"/>
        </w:rPr>
        <w:t>须提供相关证明材料</w:t>
      </w:r>
      <w:r>
        <w:rPr>
          <w:rFonts w:hint="eastAsia" w:ascii="仿宋" w:hAnsi="仿宋" w:eastAsia="仿宋" w:cs="宋体"/>
          <w:bCs/>
          <w:color w:val="000000"/>
          <w:kern w:val="0"/>
          <w:sz w:val="24"/>
          <w:szCs w:val="24"/>
          <w:highlight w:val="none"/>
        </w:rPr>
        <w:t>复印件。</w:t>
      </w:r>
    </w:p>
    <w:p w14:paraId="0F0253E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（四）企业认证证书及获奖证书（</w:t>
      </w:r>
      <w:r>
        <w:rPr>
          <w:rFonts w:ascii="楷体_GB2312" w:hAnsi="仿宋" w:eastAsia="楷体_GB2312" w:cs="Times New Roman"/>
          <w:sz w:val="24"/>
          <w:szCs w:val="24"/>
        </w:rPr>
        <w:t>5</w:t>
      </w:r>
      <w:r>
        <w:rPr>
          <w:rFonts w:hint="eastAsia" w:ascii="楷体_GB2312" w:hAnsi="仿宋" w:eastAsia="楷体_GB2312" w:cs="Times New Roman"/>
          <w:sz w:val="24"/>
          <w:szCs w:val="24"/>
        </w:rPr>
        <w:t>分）</w:t>
      </w:r>
    </w:p>
    <w:p w14:paraId="6758C21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kern w:val="0"/>
          <w:sz w:val="24"/>
          <w:szCs w:val="24"/>
        </w:rPr>
        <w:t>投标单位具有</w:t>
      </w:r>
      <w:r>
        <w:rPr>
          <w:rFonts w:ascii="仿宋" w:hAnsi="仿宋" w:eastAsia="仿宋" w:cs="Times New Roman"/>
          <w:kern w:val="0"/>
          <w:sz w:val="24"/>
          <w:szCs w:val="24"/>
        </w:rPr>
        <w:t>ISO9001</w:t>
      </w:r>
      <w:r>
        <w:rPr>
          <w:rFonts w:hint="eastAsia" w:ascii="仿宋" w:hAnsi="仿宋" w:eastAsia="仿宋" w:cs="Times New Roman"/>
          <w:kern w:val="0"/>
          <w:sz w:val="24"/>
          <w:szCs w:val="24"/>
        </w:rPr>
        <w:t>质量管理体系认证证书、H</w:t>
      </w:r>
      <w:r>
        <w:rPr>
          <w:rFonts w:ascii="仿宋" w:hAnsi="仿宋" w:eastAsia="仿宋" w:cs="Times New Roman"/>
          <w:kern w:val="0"/>
          <w:sz w:val="24"/>
          <w:szCs w:val="24"/>
        </w:rPr>
        <w:t>ACCP或ISO22000</w:t>
      </w:r>
      <w:r>
        <w:rPr>
          <w:rFonts w:hint="eastAsia" w:ascii="仿宋" w:hAnsi="仿宋" w:eastAsia="仿宋" w:cs="Times New Roman"/>
          <w:kern w:val="0"/>
          <w:sz w:val="24"/>
          <w:szCs w:val="24"/>
        </w:rPr>
        <w:t>食品安全管理体系认证证书、</w:t>
      </w:r>
      <w:r>
        <w:rPr>
          <w:rFonts w:ascii="仿宋" w:hAnsi="仿宋" w:eastAsia="仿宋" w:cs="Times New Roman"/>
          <w:kern w:val="0"/>
          <w:sz w:val="24"/>
          <w:szCs w:val="24"/>
        </w:rPr>
        <w:t>ISO14000</w:t>
      </w:r>
      <w:r>
        <w:rPr>
          <w:rFonts w:hint="eastAsia" w:ascii="仿宋" w:hAnsi="仿宋" w:eastAsia="仿宋" w:cs="Times New Roman"/>
          <w:kern w:val="0"/>
          <w:sz w:val="24"/>
          <w:szCs w:val="24"/>
        </w:rPr>
        <w:t>环境管理体系认证证书，每提供一项有效期内证书得1分，最高得</w:t>
      </w:r>
      <w:r>
        <w:rPr>
          <w:rFonts w:ascii="仿宋" w:hAnsi="仿宋" w:eastAsia="仿宋" w:cs="Times New Roman"/>
          <w:kern w:val="0"/>
          <w:sz w:val="24"/>
          <w:szCs w:val="24"/>
        </w:rPr>
        <w:t>3</w:t>
      </w:r>
      <w:r>
        <w:rPr>
          <w:rFonts w:hint="eastAsia" w:ascii="仿宋" w:hAnsi="仿宋" w:eastAsia="仿宋" w:cs="Times New Roman"/>
          <w:kern w:val="0"/>
          <w:sz w:val="24"/>
          <w:szCs w:val="24"/>
        </w:rPr>
        <w:t>分。</w:t>
      </w:r>
    </w:p>
    <w:p w14:paraId="531AE703">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2021年12月以来，投标单位获得政府部门颁发的奖项。每项得1分，最高得2分。</w:t>
      </w:r>
    </w:p>
    <w:p w14:paraId="4A1D4531">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注：以上须提供证书复印件或相关证明材料，否则不得分。</w:t>
      </w:r>
    </w:p>
    <w:p w14:paraId="01506455">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（五）服务业绩（12分）</w:t>
      </w:r>
    </w:p>
    <w:p w14:paraId="6E9B843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根据投标单位提供的自2021年12月以来（以合同签订时间为准）类似项目业绩进行评分。每项业绩须包括：（</w:t>
      </w:r>
      <w:r>
        <w:rPr>
          <w:rFonts w:ascii="仿宋" w:hAnsi="仿宋" w:eastAsia="仿宋" w:cs="Times New Roman"/>
          <w:sz w:val="24"/>
          <w:szCs w:val="24"/>
        </w:rPr>
        <w:t>1</w:t>
      </w:r>
      <w:r>
        <w:rPr>
          <w:rFonts w:hint="eastAsia" w:ascii="仿宋" w:hAnsi="仿宋" w:eastAsia="仿宋" w:cs="Times New Roman"/>
          <w:sz w:val="24"/>
          <w:szCs w:val="24"/>
        </w:rPr>
        <w:t>）不低于</w:t>
      </w:r>
      <w:r>
        <w:rPr>
          <w:rFonts w:ascii="仿宋" w:hAnsi="仿宋" w:eastAsia="仿宋" w:cs="Times New Roman"/>
          <w:sz w:val="24"/>
          <w:szCs w:val="24"/>
        </w:rPr>
        <w:t>6</w:t>
      </w:r>
      <w:r>
        <w:rPr>
          <w:rFonts w:hint="eastAsia" w:ascii="仿宋" w:hAnsi="仿宋" w:eastAsia="仿宋" w:cs="Times New Roman"/>
          <w:sz w:val="24"/>
          <w:szCs w:val="24"/>
        </w:rPr>
        <w:t>个月的供货合同；（</w:t>
      </w:r>
      <w:r>
        <w:rPr>
          <w:rFonts w:ascii="仿宋" w:hAnsi="仿宋" w:eastAsia="仿宋" w:cs="Times New Roman"/>
          <w:sz w:val="24"/>
          <w:szCs w:val="24"/>
        </w:rPr>
        <w:t>2</w:t>
      </w:r>
      <w:r>
        <w:rPr>
          <w:rFonts w:hint="eastAsia" w:ascii="仿宋" w:hAnsi="仿宋" w:eastAsia="仿宋" w:cs="Times New Roman"/>
          <w:sz w:val="24"/>
          <w:szCs w:val="24"/>
        </w:rPr>
        <w:t>）合同供货清单须包含所投标段的品类、全部或部分品种。每提供</w:t>
      </w:r>
      <w:r>
        <w:rPr>
          <w:rFonts w:ascii="仿宋" w:hAnsi="仿宋" w:eastAsia="仿宋" w:cs="Times New Roman"/>
          <w:sz w:val="24"/>
          <w:szCs w:val="24"/>
        </w:rPr>
        <w:t>1</w:t>
      </w:r>
      <w:r>
        <w:rPr>
          <w:rFonts w:hint="eastAsia" w:ascii="仿宋" w:hAnsi="仿宋" w:eastAsia="仿宋" w:cs="Times New Roman"/>
          <w:sz w:val="24"/>
          <w:szCs w:val="24"/>
        </w:rPr>
        <w:t>项完整业绩得</w:t>
      </w:r>
      <w:r>
        <w:rPr>
          <w:rFonts w:ascii="仿宋" w:hAnsi="仿宋" w:eastAsia="仿宋" w:cs="Times New Roman"/>
          <w:sz w:val="24"/>
          <w:szCs w:val="24"/>
        </w:rPr>
        <w:t>1</w:t>
      </w:r>
      <w:r>
        <w:rPr>
          <w:rFonts w:hint="eastAsia" w:ascii="仿宋" w:hAnsi="仿宋" w:eastAsia="仿宋" w:cs="Times New Roman"/>
          <w:sz w:val="24"/>
          <w:szCs w:val="24"/>
        </w:rPr>
        <w:t>分，最高得1</w:t>
      </w:r>
      <w:r>
        <w:rPr>
          <w:rFonts w:ascii="仿宋" w:hAnsi="仿宋" w:eastAsia="仿宋" w:cs="Times New Roman"/>
          <w:sz w:val="24"/>
          <w:szCs w:val="24"/>
        </w:rPr>
        <w:t>2</w:t>
      </w:r>
      <w:r>
        <w:rPr>
          <w:rFonts w:hint="eastAsia" w:ascii="仿宋" w:hAnsi="仿宋" w:eastAsia="仿宋" w:cs="Times New Roman"/>
          <w:sz w:val="24"/>
          <w:szCs w:val="24"/>
        </w:rPr>
        <w:t>分。</w:t>
      </w:r>
    </w:p>
    <w:p w14:paraId="2A98562C">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注：须提供合同复印件，同一单位业绩不重复计分。中标后，中标单位须提供上述合同原件供学校核查。</w:t>
      </w:r>
    </w:p>
    <w:p w14:paraId="43206D6F">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（六）仓储面积（8分）</w:t>
      </w:r>
    </w:p>
    <w:p w14:paraId="57DC54C1">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仓储面积低于</w:t>
      </w:r>
      <w:r>
        <w:rPr>
          <w:rFonts w:ascii="仿宋" w:hAnsi="仿宋" w:eastAsia="仿宋" w:cs="Times New Roman"/>
          <w:bCs/>
          <w:sz w:val="24"/>
          <w:szCs w:val="24"/>
        </w:rPr>
        <w:t>500</w:t>
      </w:r>
      <w:r>
        <w:rPr>
          <w:rFonts w:hint="eastAsia" w:ascii="仿宋" w:hAnsi="仿宋" w:eastAsia="仿宋" w:cs="Times New Roman"/>
          <w:bCs/>
          <w:sz w:val="24"/>
          <w:szCs w:val="24"/>
        </w:rPr>
        <w:t>平方米不得分，每满</w:t>
      </w:r>
      <w:r>
        <w:rPr>
          <w:rFonts w:ascii="仿宋" w:hAnsi="仿宋" w:eastAsia="仿宋" w:cs="Times New Roman"/>
          <w:bCs/>
          <w:sz w:val="24"/>
          <w:szCs w:val="24"/>
        </w:rPr>
        <w:t>500</w:t>
      </w:r>
      <w:r>
        <w:rPr>
          <w:rFonts w:hint="eastAsia" w:ascii="仿宋" w:hAnsi="仿宋" w:eastAsia="仿宋" w:cs="Times New Roman"/>
          <w:bCs/>
          <w:sz w:val="24"/>
          <w:szCs w:val="24"/>
        </w:rPr>
        <w:t>平方米加</w:t>
      </w:r>
      <w:r>
        <w:rPr>
          <w:rFonts w:ascii="仿宋" w:hAnsi="仿宋" w:eastAsia="仿宋" w:cs="Times New Roman"/>
          <w:bCs/>
          <w:sz w:val="24"/>
          <w:szCs w:val="24"/>
        </w:rPr>
        <w:t>2</w:t>
      </w:r>
      <w:r>
        <w:rPr>
          <w:rFonts w:hint="eastAsia" w:ascii="仿宋" w:hAnsi="仿宋" w:eastAsia="仿宋" w:cs="Times New Roman"/>
          <w:bCs/>
          <w:sz w:val="24"/>
          <w:szCs w:val="24"/>
        </w:rPr>
        <w:t>分，</w:t>
      </w:r>
      <w:r>
        <w:rPr>
          <w:rFonts w:ascii="仿宋" w:hAnsi="仿宋" w:eastAsia="仿宋" w:cs="Times New Roman"/>
          <w:bCs/>
          <w:sz w:val="24"/>
          <w:szCs w:val="24"/>
        </w:rPr>
        <w:t>最高加8</w:t>
      </w:r>
      <w:r>
        <w:rPr>
          <w:rFonts w:hint="eastAsia" w:ascii="仿宋" w:hAnsi="仿宋" w:eastAsia="仿宋" w:cs="Times New Roman"/>
          <w:bCs/>
          <w:sz w:val="24"/>
          <w:szCs w:val="24"/>
        </w:rPr>
        <w:t>分。</w:t>
      </w:r>
    </w:p>
    <w:p w14:paraId="35E80B55">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注：自有仓库的须提供相关产权证明复印件，租赁的须提供租赁协议及出租方相关产权证明复印件。上述资料不提供或提供不全的，不得分。中标后，中标单位提供上述租赁协议原件供学校核查。</w:t>
      </w:r>
    </w:p>
    <w:p w14:paraId="38A3D7E4">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（七）运输能力（4分）</w:t>
      </w:r>
    </w:p>
    <w:p w14:paraId="4F23E10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根据投标单位提供的运输车辆情况进行评分，少于4辆不得分，每满4辆加</w:t>
      </w:r>
      <w:r>
        <w:rPr>
          <w:rFonts w:ascii="仿宋" w:hAnsi="仿宋" w:eastAsia="仿宋" w:cs="Times New Roman"/>
          <w:sz w:val="24"/>
          <w:szCs w:val="24"/>
        </w:rPr>
        <w:t>2</w:t>
      </w:r>
      <w:r>
        <w:rPr>
          <w:rFonts w:hint="eastAsia" w:ascii="仿宋" w:hAnsi="仿宋" w:eastAsia="仿宋" w:cs="Times New Roman"/>
          <w:sz w:val="24"/>
          <w:szCs w:val="24"/>
        </w:rPr>
        <w:t>分，最高得4分。</w:t>
      </w:r>
    </w:p>
    <w:p w14:paraId="48798966">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注：自有运输车辆须提供运输车辆的机动车行驶证复印件；租赁的须提供租赁协议及运输车辆的机动车行驶证复印件。上述资料不提供或提供不全的，不得分。</w:t>
      </w:r>
    </w:p>
    <w:p w14:paraId="2B75E2E0">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（八）产品质量控制措施（</w:t>
      </w:r>
      <w:r>
        <w:rPr>
          <w:rFonts w:ascii="楷体_GB2312" w:hAnsi="仿宋" w:eastAsia="楷体_GB2312" w:cs="Times New Roman"/>
          <w:sz w:val="24"/>
          <w:szCs w:val="24"/>
        </w:rPr>
        <w:t>11</w:t>
      </w:r>
      <w:r>
        <w:rPr>
          <w:rFonts w:hint="eastAsia" w:ascii="楷体_GB2312" w:hAnsi="仿宋" w:eastAsia="楷体_GB2312" w:cs="Times New Roman"/>
          <w:sz w:val="24"/>
          <w:szCs w:val="24"/>
        </w:rPr>
        <w:t>分）</w:t>
      </w:r>
    </w:p>
    <w:p w14:paraId="1D7FB0F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对所供产品的食品安全负责，建立食品安全追溯系统，提供追溯系统二维码、现场能扫码查询登录，得</w:t>
      </w:r>
      <w:r>
        <w:rPr>
          <w:rFonts w:ascii="仿宋" w:hAnsi="仿宋" w:eastAsia="仿宋" w:cs="Times New Roman"/>
          <w:sz w:val="24"/>
          <w:szCs w:val="24"/>
        </w:rPr>
        <w:t>2</w:t>
      </w:r>
      <w:r>
        <w:rPr>
          <w:rFonts w:hint="eastAsia" w:ascii="仿宋" w:hAnsi="仿宋" w:eastAsia="仿宋" w:cs="Times New Roman"/>
          <w:sz w:val="24"/>
          <w:szCs w:val="24"/>
        </w:rPr>
        <w:t>分，未提供不得分。</w:t>
      </w:r>
    </w:p>
    <w:p w14:paraId="2F71C24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2</w:t>
      </w:r>
      <w:r>
        <w:rPr>
          <w:rFonts w:ascii="仿宋" w:hAnsi="仿宋" w:eastAsia="仿宋" w:cs="Times New Roman"/>
          <w:bCs/>
          <w:sz w:val="24"/>
          <w:szCs w:val="24"/>
        </w:rPr>
        <w:t>.</w:t>
      </w:r>
      <w:r>
        <w:rPr>
          <w:rFonts w:hint="eastAsia" w:ascii="仿宋" w:hAnsi="仿宋" w:eastAsia="仿宋" w:cs="Times New Roman"/>
          <w:bCs/>
          <w:sz w:val="24"/>
          <w:szCs w:val="24"/>
        </w:rPr>
        <w:t>有完善的管理方案和措施（含产品加工环节控制措施、产品品质检测控制措施、产品</w:t>
      </w:r>
      <w:r>
        <w:rPr>
          <w:rFonts w:hint="eastAsia" w:ascii="仿宋" w:hAnsi="仿宋" w:eastAsia="仿宋" w:cs="Times New Roman"/>
          <w:sz w:val="24"/>
          <w:szCs w:val="24"/>
        </w:rPr>
        <w:t>存储环节</w:t>
      </w:r>
      <w:r>
        <w:rPr>
          <w:rFonts w:hint="eastAsia" w:ascii="仿宋" w:hAnsi="仿宋" w:eastAsia="仿宋" w:cs="Times New Roman"/>
          <w:bCs/>
          <w:sz w:val="24"/>
          <w:szCs w:val="24"/>
        </w:rPr>
        <w:t>控制措施</w:t>
      </w:r>
      <w:r>
        <w:rPr>
          <w:rFonts w:hint="eastAsia" w:ascii="仿宋" w:hAnsi="仿宋" w:eastAsia="仿宋" w:cs="Times New Roman"/>
          <w:sz w:val="24"/>
          <w:szCs w:val="24"/>
        </w:rPr>
        <w:t>和产品运输环节</w:t>
      </w:r>
      <w:r>
        <w:rPr>
          <w:rFonts w:hint="eastAsia" w:ascii="仿宋" w:hAnsi="仿宋" w:eastAsia="仿宋" w:cs="Times New Roman"/>
          <w:bCs/>
          <w:sz w:val="24"/>
          <w:szCs w:val="24"/>
        </w:rPr>
        <w:t>控制措施）。管理方案完善详细，措施合理，操作性强的得</w:t>
      </w:r>
      <w:r>
        <w:rPr>
          <w:rFonts w:ascii="仿宋" w:hAnsi="仿宋" w:eastAsia="仿宋" w:cs="Times New Roman"/>
          <w:bCs/>
          <w:sz w:val="24"/>
          <w:szCs w:val="24"/>
        </w:rPr>
        <w:t>9</w:t>
      </w:r>
      <w:r>
        <w:rPr>
          <w:rFonts w:hint="eastAsia" w:ascii="仿宋" w:hAnsi="仿宋" w:eastAsia="仿宋" w:cs="Times New Roman"/>
          <w:bCs/>
          <w:sz w:val="24"/>
          <w:szCs w:val="24"/>
        </w:rPr>
        <w:t>分；管理方案完善较详细，措施较合理，操作性较强的得</w:t>
      </w:r>
      <w:r>
        <w:rPr>
          <w:rFonts w:ascii="仿宋" w:hAnsi="仿宋" w:eastAsia="仿宋" w:cs="Times New Roman"/>
          <w:bCs/>
          <w:sz w:val="24"/>
          <w:szCs w:val="24"/>
        </w:rPr>
        <w:t>6</w:t>
      </w:r>
      <w:r>
        <w:rPr>
          <w:rFonts w:hint="eastAsia" w:ascii="仿宋" w:hAnsi="仿宋" w:eastAsia="仿宋" w:cs="Times New Roman"/>
          <w:bCs/>
          <w:sz w:val="24"/>
          <w:szCs w:val="24"/>
        </w:rPr>
        <w:t>分；管理方案简单，措施</w:t>
      </w:r>
      <w:r>
        <w:rPr>
          <w:rFonts w:hint="eastAsia" w:ascii="仿宋" w:hAnsi="仿宋" w:eastAsia="仿宋" w:cs="Times New Roman"/>
          <w:bCs/>
          <w:sz w:val="24"/>
          <w:szCs w:val="24"/>
          <w:lang w:val="en-US" w:eastAsia="zh-CN"/>
        </w:rPr>
        <w:t>部分合理</w:t>
      </w:r>
      <w:r>
        <w:rPr>
          <w:rFonts w:hint="eastAsia" w:ascii="仿宋" w:hAnsi="仿宋" w:eastAsia="仿宋" w:cs="Times New Roman"/>
          <w:bCs/>
          <w:sz w:val="24"/>
          <w:szCs w:val="24"/>
        </w:rPr>
        <w:t>，操作性</w:t>
      </w:r>
      <w:r>
        <w:rPr>
          <w:rFonts w:hint="eastAsia" w:ascii="仿宋" w:hAnsi="仿宋" w:eastAsia="仿宋" w:cs="Times New Roman"/>
          <w:bCs/>
          <w:sz w:val="24"/>
          <w:szCs w:val="24"/>
          <w:lang w:val="en-US" w:eastAsia="zh-CN"/>
        </w:rPr>
        <w:t>较弱</w:t>
      </w:r>
      <w:r>
        <w:rPr>
          <w:rFonts w:hint="eastAsia" w:ascii="仿宋" w:hAnsi="仿宋" w:eastAsia="仿宋" w:cs="Times New Roman"/>
          <w:bCs/>
          <w:sz w:val="24"/>
          <w:szCs w:val="24"/>
        </w:rPr>
        <w:t>的得</w:t>
      </w:r>
      <w:r>
        <w:rPr>
          <w:rFonts w:hint="eastAsia" w:ascii="仿宋" w:hAnsi="仿宋" w:eastAsia="仿宋" w:cs="Times New Roman"/>
          <w:bCs/>
          <w:sz w:val="24"/>
          <w:szCs w:val="24"/>
          <w:lang w:val="en-US" w:eastAsia="zh-CN"/>
        </w:rPr>
        <w:t>3</w:t>
      </w:r>
      <w:r>
        <w:rPr>
          <w:rFonts w:hint="eastAsia" w:ascii="仿宋" w:hAnsi="仿宋" w:eastAsia="仿宋" w:cs="Times New Roman"/>
          <w:bCs/>
          <w:sz w:val="24"/>
          <w:szCs w:val="24"/>
        </w:rPr>
        <w:t>分；管理方案内容缺失，措施不明确，操作性差的得1分；不提供不得分。</w:t>
      </w:r>
    </w:p>
    <w:p w14:paraId="2C13D9F2">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注：以上管理方案和措施需提供操作规范、检测设备场所等相关图片的证明材料。</w:t>
      </w:r>
    </w:p>
    <w:p w14:paraId="6410E88C">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Cs/>
          <w:sz w:val="24"/>
          <w:szCs w:val="24"/>
        </w:rPr>
      </w:pPr>
      <w:r>
        <w:rPr>
          <w:rFonts w:hint="eastAsia" w:ascii="楷体_GB2312" w:hAnsi="仿宋" w:eastAsia="楷体_GB2312" w:cs="Times New Roman"/>
          <w:bCs/>
          <w:sz w:val="24"/>
          <w:szCs w:val="24"/>
        </w:rPr>
        <w:t>（九）服务团队配备（3分）</w:t>
      </w:r>
    </w:p>
    <w:p w14:paraId="2BE3661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1.</w:t>
      </w:r>
      <w:r>
        <w:rPr>
          <w:rFonts w:hint="eastAsia" w:ascii="仿宋" w:hAnsi="仿宋" w:eastAsia="仿宋" w:cs="Times New Roman"/>
          <w:bCs/>
          <w:sz w:val="24"/>
          <w:szCs w:val="24"/>
        </w:rPr>
        <w:t>根据投标单位为所投标段配备的项目负责人情况</w:t>
      </w:r>
      <w:r>
        <w:rPr>
          <w:rFonts w:ascii="仿宋" w:hAnsi="仿宋" w:eastAsia="仿宋" w:cs="Times New Roman"/>
          <w:bCs/>
          <w:sz w:val="24"/>
          <w:szCs w:val="24"/>
        </w:rPr>
        <w:t>进行</w:t>
      </w:r>
      <w:r>
        <w:rPr>
          <w:rFonts w:hint="eastAsia" w:ascii="仿宋" w:hAnsi="仿宋" w:eastAsia="仿宋" w:cs="Times New Roman"/>
          <w:bCs/>
          <w:sz w:val="24"/>
          <w:szCs w:val="24"/>
        </w:rPr>
        <w:t>评分（</w:t>
      </w:r>
      <w:r>
        <w:rPr>
          <w:rFonts w:ascii="仿宋" w:hAnsi="仿宋" w:eastAsia="仿宋" w:cs="Times New Roman"/>
          <w:bCs/>
          <w:sz w:val="24"/>
          <w:szCs w:val="24"/>
        </w:rPr>
        <w:t>2分）</w:t>
      </w:r>
      <w:r>
        <w:rPr>
          <w:rFonts w:hint="eastAsia" w:ascii="仿宋" w:hAnsi="仿宋" w:eastAsia="仿宋" w:cs="Times New Roman"/>
          <w:bCs/>
          <w:sz w:val="24"/>
          <w:szCs w:val="24"/>
        </w:rPr>
        <w:t>。项目</w:t>
      </w:r>
      <w:r>
        <w:rPr>
          <w:rFonts w:ascii="仿宋" w:hAnsi="仿宋" w:eastAsia="仿宋" w:cs="Times New Roman"/>
          <w:bCs/>
          <w:sz w:val="24"/>
          <w:szCs w:val="24"/>
        </w:rPr>
        <w:t>负责人</w:t>
      </w:r>
      <w:r>
        <w:rPr>
          <w:rFonts w:hint="eastAsia" w:ascii="仿宋" w:hAnsi="仿宋" w:eastAsia="仿宋" w:cs="Times New Roman"/>
          <w:bCs/>
          <w:sz w:val="24"/>
          <w:szCs w:val="24"/>
        </w:rPr>
        <w:t>具有本科及以上学历的，得</w:t>
      </w:r>
      <w:r>
        <w:rPr>
          <w:rFonts w:ascii="仿宋" w:hAnsi="仿宋" w:eastAsia="仿宋" w:cs="Times New Roman"/>
          <w:bCs/>
          <w:sz w:val="24"/>
          <w:szCs w:val="24"/>
        </w:rPr>
        <w:t>1</w:t>
      </w:r>
      <w:r>
        <w:rPr>
          <w:rFonts w:hint="eastAsia" w:ascii="仿宋" w:hAnsi="仿宋" w:eastAsia="仿宋" w:cs="Times New Roman"/>
          <w:bCs/>
          <w:sz w:val="24"/>
          <w:szCs w:val="24"/>
        </w:rPr>
        <w:t>分；具有</w:t>
      </w:r>
      <w:r>
        <w:rPr>
          <w:rFonts w:ascii="仿宋" w:hAnsi="仿宋" w:eastAsia="仿宋" w:cs="Times New Roman"/>
          <w:bCs/>
          <w:sz w:val="24"/>
          <w:szCs w:val="24"/>
        </w:rPr>
        <w:t>3</w:t>
      </w:r>
      <w:r>
        <w:rPr>
          <w:rFonts w:hint="eastAsia" w:ascii="仿宋" w:hAnsi="仿宋" w:eastAsia="仿宋" w:cs="Times New Roman"/>
          <w:bCs/>
          <w:sz w:val="24"/>
          <w:szCs w:val="24"/>
        </w:rPr>
        <w:t>年及以上类似项目经历的，得</w:t>
      </w:r>
      <w:r>
        <w:rPr>
          <w:rFonts w:ascii="仿宋" w:hAnsi="仿宋" w:eastAsia="仿宋" w:cs="Times New Roman"/>
          <w:bCs/>
          <w:sz w:val="24"/>
          <w:szCs w:val="24"/>
        </w:rPr>
        <w:t>1</w:t>
      </w:r>
      <w:r>
        <w:rPr>
          <w:rFonts w:hint="eastAsia" w:ascii="仿宋" w:hAnsi="仿宋" w:eastAsia="仿宋" w:cs="Times New Roman"/>
          <w:bCs/>
          <w:sz w:val="24"/>
          <w:szCs w:val="24"/>
        </w:rPr>
        <w:t>分。</w:t>
      </w:r>
    </w:p>
    <w:p w14:paraId="3ECB199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除项目负责人外，为项目配备</w:t>
      </w:r>
      <w:r>
        <w:rPr>
          <w:rFonts w:ascii="仿宋" w:hAnsi="仿宋" w:eastAsia="仿宋" w:cs="Times New Roman"/>
          <w:bCs/>
          <w:sz w:val="24"/>
          <w:szCs w:val="24"/>
        </w:rPr>
        <w:t>2</w:t>
      </w:r>
      <w:r>
        <w:rPr>
          <w:rFonts w:hint="eastAsia" w:ascii="仿宋" w:hAnsi="仿宋" w:eastAsia="仿宋" w:cs="Times New Roman"/>
          <w:bCs/>
          <w:sz w:val="24"/>
          <w:szCs w:val="24"/>
        </w:rPr>
        <w:t>名骨干团队人员的，得</w:t>
      </w:r>
      <w:r>
        <w:rPr>
          <w:rFonts w:ascii="仿宋" w:hAnsi="仿宋" w:eastAsia="仿宋" w:cs="Times New Roman"/>
          <w:bCs/>
          <w:sz w:val="24"/>
          <w:szCs w:val="24"/>
        </w:rPr>
        <w:t>1</w:t>
      </w:r>
      <w:r>
        <w:rPr>
          <w:rFonts w:hint="eastAsia" w:ascii="仿宋" w:hAnsi="仿宋" w:eastAsia="仿宋" w:cs="Times New Roman"/>
          <w:bCs/>
          <w:sz w:val="24"/>
          <w:szCs w:val="24"/>
        </w:rPr>
        <w:t>分，</w:t>
      </w:r>
      <w:r>
        <w:rPr>
          <w:rFonts w:ascii="仿宋" w:hAnsi="仿宋" w:eastAsia="仿宋" w:cs="Times New Roman"/>
          <w:bCs/>
          <w:sz w:val="24"/>
          <w:szCs w:val="24"/>
        </w:rPr>
        <w:t>须提供</w:t>
      </w:r>
      <w:r>
        <w:rPr>
          <w:rFonts w:hint="eastAsia" w:ascii="仿宋" w:hAnsi="仿宋" w:eastAsia="仿宋" w:cs="Times New Roman"/>
          <w:bCs/>
          <w:sz w:val="24"/>
          <w:szCs w:val="24"/>
        </w:rPr>
        <w:t>人员名单和基本信息，否则不得分。</w:t>
      </w:r>
    </w:p>
    <w:p w14:paraId="49ED3740">
      <w:pPr>
        <w:keepNext w:val="0"/>
        <w:keepLines w:val="0"/>
        <w:pageBreakBefore w:val="0"/>
        <w:widowControl w:val="0"/>
        <w:kinsoku/>
        <w:wordWrap/>
        <w:overflowPunct/>
        <w:topLinePunct w:val="0"/>
        <w:autoSpaceDE/>
        <w:autoSpaceDN/>
        <w:bidi w:val="0"/>
        <w:adjustRightInd/>
        <w:spacing w:line="500" w:lineRule="exact"/>
        <w:jc w:val="left"/>
        <w:textAlignment w:val="auto"/>
        <w:rPr>
          <w:rFonts w:ascii="仿宋" w:hAnsi="仿宋" w:eastAsia="仿宋" w:cs="Times New Roman"/>
          <w:b/>
          <w:sz w:val="24"/>
          <w:szCs w:val="24"/>
        </w:rPr>
      </w:pPr>
      <w:r>
        <w:rPr>
          <w:rFonts w:hint="eastAsia" w:ascii="仿宋" w:hAnsi="仿宋" w:eastAsia="仿宋" w:cs="Times New Roman"/>
          <w:b/>
          <w:sz w:val="24"/>
          <w:szCs w:val="24"/>
        </w:rPr>
        <w:t xml:space="preserve"> </w:t>
      </w:r>
      <w:r>
        <w:rPr>
          <w:rFonts w:ascii="仿宋" w:hAnsi="仿宋" w:eastAsia="仿宋" w:cs="Times New Roman"/>
          <w:b/>
          <w:sz w:val="24"/>
          <w:szCs w:val="24"/>
        </w:rPr>
        <w:t xml:space="preserve">  </w:t>
      </w:r>
      <w:r>
        <w:rPr>
          <w:rFonts w:hint="eastAsia" w:ascii="仿宋" w:hAnsi="仿宋" w:eastAsia="仿宋" w:cs="Times New Roman"/>
          <w:b/>
          <w:sz w:val="24"/>
          <w:szCs w:val="24"/>
        </w:rPr>
        <w:t>注：以上须提供学历证书、劳动合同等相关证明材料及投标单位近</w:t>
      </w:r>
      <w:r>
        <w:rPr>
          <w:rFonts w:ascii="仿宋" w:hAnsi="仿宋" w:eastAsia="仿宋" w:cs="Times New Roman"/>
          <w:b/>
          <w:sz w:val="24"/>
          <w:szCs w:val="24"/>
        </w:rPr>
        <w:t>3</w:t>
      </w:r>
      <w:r>
        <w:rPr>
          <w:rFonts w:hint="eastAsia" w:ascii="仿宋" w:hAnsi="仿宋" w:eastAsia="仿宋" w:cs="Times New Roman"/>
          <w:b/>
          <w:sz w:val="24"/>
          <w:szCs w:val="24"/>
        </w:rPr>
        <w:t>个月为其</w:t>
      </w:r>
      <w:r>
        <w:rPr>
          <w:rFonts w:ascii="仿宋" w:hAnsi="仿宋" w:eastAsia="仿宋" w:cs="Times New Roman"/>
          <w:b/>
          <w:sz w:val="24"/>
          <w:szCs w:val="24"/>
        </w:rPr>
        <w:t>缴纳的</w:t>
      </w:r>
      <w:r>
        <w:rPr>
          <w:rFonts w:hint="eastAsia" w:ascii="仿宋" w:hAnsi="仿宋" w:eastAsia="仿宋" w:cs="Times New Roman"/>
          <w:b/>
          <w:sz w:val="24"/>
          <w:szCs w:val="24"/>
        </w:rPr>
        <w:t>社保证明复印件，否则不得分。</w:t>
      </w:r>
    </w:p>
    <w:p w14:paraId="1FDF2FB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（十）食品安全责任险（3分）</w:t>
      </w:r>
    </w:p>
    <w:p w14:paraId="12B226D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投标单位连续三年及以上购买食品安全责任险，且每年总保额在</w:t>
      </w:r>
      <w:r>
        <w:rPr>
          <w:rFonts w:hint="eastAsia" w:ascii="仿宋" w:hAnsi="仿宋" w:eastAsia="仿宋" w:cs="Times New Roman"/>
          <w:bCs/>
          <w:sz w:val="24"/>
          <w:szCs w:val="24"/>
          <w:lang w:val="en-US" w:eastAsia="zh-CN"/>
        </w:rPr>
        <w:t>5</w:t>
      </w:r>
      <w:r>
        <w:rPr>
          <w:rFonts w:ascii="仿宋" w:hAnsi="仿宋" w:eastAsia="仿宋" w:cs="Times New Roman"/>
          <w:bCs/>
          <w:sz w:val="24"/>
          <w:szCs w:val="24"/>
        </w:rPr>
        <w:t>00</w:t>
      </w:r>
      <w:r>
        <w:rPr>
          <w:rFonts w:hint="eastAsia" w:ascii="仿宋" w:hAnsi="仿宋" w:eastAsia="仿宋" w:cs="Times New Roman"/>
          <w:bCs/>
          <w:sz w:val="24"/>
          <w:szCs w:val="24"/>
        </w:rPr>
        <w:t>万元以上的，得</w:t>
      </w:r>
      <w:r>
        <w:rPr>
          <w:rFonts w:ascii="仿宋" w:hAnsi="仿宋" w:eastAsia="仿宋" w:cs="Times New Roman"/>
          <w:bCs/>
          <w:sz w:val="24"/>
          <w:szCs w:val="24"/>
        </w:rPr>
        <w:t>3</w:t>
      </w:r>
      <w:r>
        <w:rPr>
          <w:rFonts w:hint="eastAsia" w:ascii="仿宋" w:hAnsi="仿宋" w:eastAsia="仿宋" w:cs="Times New Roman"/>
          <w:bCs/>
          <w:sz w:val="24"/>
          <w:szCs w:val="24"/>
        </w:rPr>
        <w:t>分；投标单位连续三年购买食品安全责任险，且年总保额在</w:t>
      </w:r>
      <w:r>
        <w:rPr>
          <w:rFonts w:hint="eastAsia" w:ascii="仿宋" w:hAnsi="仿宋" w:eastAsia="仿宋" w:cs="Times New Roman"/>
          <w:bCs/>
          <w:sz w:val="24"/>
          <w:szCs w:val="24"/>
          <w:lang w:val="en-US" w:eastAsia="zh-CN"/>
        </w:rPr>
        <w:t>3</w:t>
      </w:r>
      <w:r>
        <w:rPr>
          <w:rFonts w:ascii="仿宋" w:hAnsi="仿宋" w:eastAsia="仿宋" w:cs="Times New Roman"/>
          <w:bCs/>
          <w:sz w:val="24"/>
          <w:szCs w:val="24"/>
        </w:rPr>
        <w:t>00</w:t>
      </w:r>
      <w:r>
        <w:rPr>
          <w:rFonts w:hint="eastAsia" w:ascii="仿宋" w:hAnsi="仿宋" w:eastAsia="仿宋" w:cs="Times New Roman"/>
          <w:bCs/>
          <w:sz w:val="24"/>
          <w:szCs w:val="24"/>
        </w:rPr>
        <w:t>万元以上、</w:t>
      </w:r>
      <w:r>
        <w:rPr>
          <w:rFonts w:hint="eastAsia" w:ascii="仿宋" w:hAnsi="仿宋" w:eastAsia="仿宋" w:cs="Times New Roman"/>
          <w:bCs/>
          <w:sz w:val="24"/>
          <w:szCs w:val="24"/>
          <w:lang w:val="en-US" w:eastAsia="zh-CN"/>
        </w:rPr>
        <w:t>5</w:t>
      </w:r>
      <w:r>
        <w:rPr>
          <w:rFonts w:ascii="仿宋" w:hAnsi="仿宋" w:eastAsia="仿宋" w:cs="Times New Roman"/>
          <w:bCs/>
          <w:sz w:val="24"/>
          <w:szCs w:val="24"/>
        </w:rPr>
        <w:t>00</w:t>
      </w:r>
      <w:r>
        <w:rPr>
          <w:rFonts w:hint="eastAsia" w:ascii="仿宋" w:hAnsi="仿宋" w:eastAsia="仿宋" w:cs="Times New Roman"/>
          <w:bCs/>
          <w:sz w:val="24"/>
          <w:szCs w:val="24"/>
        </w:rPr>
        <w:t>万元</w:t>
      </w:r>
      <w:r>
        <w:rPr>
          <w:rFonts w:hint="eastAsia" w:ascii="仿宋" w:hAnsi="仿宋" w:eastAsia="仿宋" w:cs="Times New Roman"/>
          <w:bCs/>
          <w:sz w:val="24"/>
          <w:szCs w:val="24"/>
          <w:lang w:val="en-US" w:eastAsia="zh-CN"/>
        </w:rPr>
        <w:t>及</w:t>
      </w:r>
      <w:r>
        <w:rPr>
          <w:rFonts w:hint="eastAsia" w:ascii="仿宋" w:hAnsi="仿宋" w:eastAsia="仿宋" w:cs="Times New Roman"/>
          <w:bCs/>
          <w:sz w:val="24"/>
          <w:szCs w:val="24"/>
        </w:rPr>
        <w:t>以下的，得</w:t>
      </w:r>
      <w:r>
        <w:rPr>
          <w:rFonts w:ascii="仿宋" w:hAnsi="仿宋" w:eastAsia="仿宋" w:cs="Times New Roman"/>
          <w:bCs/>
          <w:sz w:val="24"/>
          <w:szCs w:val="24"/>
        </w:rPr>
        <w:t>2</w:t>
      </w:r>
      <w:r>
        <w:rPr>
          <w:rFonts w:hint="eastAsia" w:ascii="仿宋" w:hAnsi="仿宋" w:eastAsia="仿宋" w:cs="Times New Roman"/>
          <w:bCs/>
          <w:sz w:val="24"/>
          <w:szCs w:val="24"/>
        </w:rPr>
        <w:t>分；投标单位连续三年购买食品安全责任险，年总保额在</w:t>
      </w:r>
      <w:r>
        <w:rPr>
          <w:rFonts w:hint="eastAsia" w:ascii="仿宋" w:hAnsi="仿宋" w:eastAsia="仿宋" w:cs="Times New Roman"/>
          <w:bCs/>
          <w:sz w:val="24"/>
          <w:szCs w:val="24"/>
          <w:lang w:val="en-US" w:eastAsia="zh-CN"/>
        </w:rPr>
        <w:t>3</w:t>
      </w:r>
      <w:r>
        <w:rPr>
          <w:rFonts w:ascii="仿宋" w:hAnsi="仿宋" w:eastAsia="仿宋" w:cs="Times New Roman"/>
          <w:bCs/>
          <w:sz w:val="24"/>
          <w:szCs w:val="24"/>
        </w:rPr>
        <w:t>00</w:t>
      </w:r>
      <w:r>
        <w:rPr>
          <w:rFonts w:hint="eastAsia" w:ascii="仿宋" w:hAnsi="仿宋" w:eastAsia="仿宋" w:cs="Times New Roman"/>
          <w:bCs/>
          <w:sz w:val="24"/>
          <w:szCs w:val="24"/>
        </w:rPr>
        <w:t>万元</w:t>
      </w:r>
      <w:r>
        <w:rPr>
          <w:rFonts w:hint="eastAsia" w:ascii="仿宋" w:hAnsi="仿宋" w:eastAsia="仿宋" w:cs="Times New Roman"/>
          <w:bCs/>
          <w:sz w:val="24"/>
          <w:szCs w:val="24"/>
          <w:lang w:val="en-US" w:eastAsia="zh-CN"/>
        </w:rPr>
        <w:t>及以下</w:t>
      </w:r>
      <w:r>
        <w:rPr>
          <w:rFonts w:hint="eastAsia" w:ascii="仿宋" w:hAnsi="仿宋" w:eastAsia="仿宋" w:cs="Times New Roman"/>
          <w:bCs/>
          <w:sz w:val="24"/>
          <w:szCs w:val="24"/>
        </w:rPr>
        <w:t>的，得</w:t>
      </w:r>
      <w:r>
        <w:rPr>
          <w:rFonts w:ascii="仿宋" w:hAnsi="仿宋" w:eastAsia="仿宋" w:cs="Times New Roman"/>
          <w:bCs/>
          <w:sz w:val="24"/>
          <w:szCs w:val="24"/>
        </w:rPr>
        <w:t>1</w:t>
      </w:r>
      <w:r>
        <w:rPr>
          <w:rFonts w:hint="eastAsia" w:ascii="仿宋" w:hAnsi="仿宋" w:eastAsia="仿宋" w:cs="Times New Roman"/>
          <w:bCs/>
          <w:sz w:val="24"/>
          <w:szCs w:val="24"/>
        </w:rPr>
        <w:t>分。其他情况不得分。</w:t>
      </w:r>
    </w:p>
    <w:p w14:paraId="2AE516B5">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注：以上须提供保险公司出具的“食品安全责任保险”保单的复印件，不提供不得分。</w:t>
      </w:r>
    </w:p>
    <w:p w14:paraId="0F99F5B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
          <w:sz w:val="24"/>
          <w:szCs w:val="24"/>
        </w:rPr>
      </w:pPr>
      <w:r>
        <w:rPr>
          <w:rFonts w:hint="eastAsia" w:ascii="楷体_GB2312" w:hAnsi="仿宋" w:eastAsia="楷体_GB2312" w:cs="Times New Roman"/>
          <w:bCs/>
          <w:sz w:val="24"/>
          <w:szCs w:val="24"/>
        </w:rPr>
        <w:t>（十一）</w:t>
      </w:r>
      <w:r>
        <w:rPr>
          <w:rFonts w:hint="eastAsia" w:ascii="楷体_GB2312" w:hAnsi="仿宋" w:eastAsia="楷体_GB2312" w:cs="Times New Roman"/>
          <w:sz w:val="24"/>
          <w:szCs w:val="24"/>
        </w:rPr>
        <w:t>应急处理实施方案（</w:t>
      </w:r>
      <w:r>
        <w:rPr>
          <w:rFonts w:ascii="楷体_GB2312" w:hAnsi="仿宋" w:eastAsia="楷体_GB2312" w:cs="Times New Roman"/>
          <w:sz w:val="24"/>
          <w:szCs w:val="24"/>
        </w:rPr>
        <w:t>10</w:t>
      </w:r>
      <w:r>
        <w:rPr>
          <w:rFonts w:hint="eastAsia" w:ascii="楷体_GB2312" w:hAnsi="仿宋" w:eastAsia="楷体_GB2312" w:cs="Times New Roman"/>
          <w:sz w:val="24"/>
          <w:szCs w:val="24"/>
        </w:rPr>
        <w:t>分）</w:t>
      </w:r>
    </w:p>
    <w:p w14:paraId="032F1611">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应急处理实施方案（应急保供能力、应急预案、应急保供方案等），主要考察应急工作保障团队、物资采购渠道、储备情况、配送能力、应急联系方式（24小时待命），食品流通环节过程中出现问题的应急预案，受暴雨、冰灾、雪灾等影响期间提供的应急保供方案。</w:t>
      </w:r>
    </w:p>
    <w:p w14:paraId="1C05DD4E">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应急处理实施方案完善、细致，操作性强的得</w:t>
      </w:r>
      <w:r>
        <w:rPr>
          <w:rFonts w:ascii="仿宋" w:hAnsi="仿宋" w:eastAsia="仿宋" w:cs="Times New Roman"/>
          <w:sz w:val="24"/>
          <w:szCs w:val="24"/>
        </w:rPr>
        <w:t>10</w:t>
      </w:r>
      <w:r>
        <w:rPr>
          <w:rFonts w:hint="eastAsia" w:ascii="仿宋" w:hAnsi="仿宋" w:eastAsia="仿宋" w:cs="Times New Roman"/>
          <w:sz w:val="24"/>
          <w:szCs w:val="24"/>
        </w:rPr>
        <w:t xml:space="preserve"> 分；应急处理实施方案较完善、细致，操作性较强的得7分；应急处理实施方案</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w:t>
      </w:r>
      <w:r>
        <w:rPr>
          <w:rFonts w:hint="eastAsia" w:ascii="仿宋" w:hAnsi="仿宋" w:eastAsia="仿宋" w:cs="Times New Roman"/>
          <w:sz w:val="24"/>
          <w:szCs w:val="24"/>
          <w:lang w:val="en-US" w:eastAsia="zh-CN"/>
        </w:rPr>
        <w:t>有一定</w:t>
      </w:r>
      <w:r>
        <w:rPr>
          <w:rFonts w:hint="eastAsia" w:ascii="仿宋" w:hAnsi="仿宋" w:eastAsia="仿宋" w:cs="Times New Roman"/>
          <w:sz w:val="24"/>
          <w:szCs w:val="24"/>
        </w:rPr>
        <w:t>操作性的得4分；应急处理实施方案内容欠缺，操作性较差的得</w:t>
      </w:r>
      <w:r>
        <w:rPr>
          <w:rFonts w:ascii="仿宋" w:hAnsi="仿宋" w:eastAsia="仿宋" w:cs="Times New Roman"/>
          <w:sz w:val="24"/>
          <w:szCs w:val="24"/>
        </w:rPr>
        <w:t>1</w:t>
      </w:r>
      <w:r>
        <w:rPr>
          <w:rFonts w:hint="eastAsia" w:ascii="仿宋" w:hAnsi="仿宋" w:eastAsia="仿宋" w:cs="Times New Roman"/>
          <w:sz w:val="24"/>
          <w:szCs w:val="24"/>
        </w:rPr>
        <w:t>分；不提供不得分。</w:t>
      </w:r>
    </w:p>
    <w:p w14:paraId="3EF8500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（十二）服务承诺和优惠措施（3分）</w:t>
      </w:r>
    </w:p>
    <w:p w14:paraId="532F0C70">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提供服务承诺和优惠措施，包括但不限于：保证抽检时无不合格项、配送时效性承诺、加急配送、免费（临超期）退换货、赔偿、质量保证承诺、给学校提供的优惠措施等。</w:t>
      </w:r>
    </w:p>
    <w:p w14:paraId="489F097E">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方正小标宋_GBK" w:hAnsi="等线" w:eastAsia="方正小标宋_GBK" w:cs="Times New Roman"/>
          <w:sz w:val="24"/>
          <w:szCs w:val="24"/>
        </w:rPr>
      </w:pPr>
      <w:r>
        <w:rPr>
          <w:rFonts w:hint="eastAsia" w:ascii="仿宋" w:hAnsi="仿宋" w:eastAsia="仿宋" w:cs="Times New Roman"/>
          <w:sz w:val="24"/>
          <w:szCs w:val="24"/>
        </w:rPr>
        <w:t>服务承诺完善详细，优惠措施合理，操作性强的得</w:t>
      </w:r>
      <w:r>
        <w:rPr>
          <w:rFonts w:ascii="仿宋" w:hAnsi="仿宋" w:eastAsia="仿宋" w:cs="Times New Roman"/>
          <w:sz w:val="24"/>
          <w:szCs w:val="24"/>
        </w:rPr>
        <w:t>3</w:t>
      </w:r>
      <w:r>
        <w:rPr>
          <w:rFonts w:hint="eastAsia" w:ascii="仿宋" w:hAnsi="仿宋" w:eastAsia="仿宋" w:cs="Times New Roman"/>
          <w:sz w:val="24"/>
          <w:szCs w:val="24"/>
        </w:rPr>
        <w:t>分；服务承诺完善较详细，优惠措施较合理，操作性较强的得2分；服务承诺</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，优惠措施</w:t>
      </w:r>
      <w:r>
        <w:rPr>
          <w:rFonts w:hint="eastAsia" w:ascii="仿宋" w:hAnsi="仿宋" w:eastAsia="仿宋" w:cs="Times New Roman"/>
          <w:sz w:val="24"/>
          <w:szCs w:val="24"/>
          <w:lang w:val="en-US" w:eastAsia="zh-CN"/>
        </w:rPr>
        <w:t>力度不强</w:t>
      </w:r>
      <w:r>
        <w:rPr>
          <w:rFonts w:hint="eastAsia" w:ascii="仿宋" w:hAnsi="仿宋" w:eastAsia="仿宋" w:cs="Times New Roman"/>
          <w:sz w:val="24"/>
          <w:szCs w:val="24"/>
        </w:rPr>
        <w:t>，操作性</w:t>
      </w:r>
      <w:r>
        <w:rPr>
          <w:rFonts w:hint="eastAsia" w:ascii="仿宋" w:hAnsi="仿宋" w:eastAsia="仿宋" w:cs="Times New Roman"/>
          <w:sz w:val="24"/>
          <w:szCs w:val="24"/>
          <w:lang w:val="en-US" w:eastAsia="zh-CN"/>
        </w:rPr>
        <w:t>较弱</w:t>
      </w:r>
      <w:r>
        <w:rPr>
          <w:rFonts w:hint="eastAsia" w:ascii="仿宋" w:hAnsi="仿宋" w:eastAsia="仿宋" w:cs="Times New Roman"/>
          <w:sz w:val="24"/>
          <w:szCs w:val="24"/>
        </w:rPr>
        <w:t>的得1分</w:t>
      </w:r>
      <w:r>
        <w:rPr>
          <w:rFonts w:hint="eastAsia" w:ascii="仿宋" w:hAnsi="仿宋" w:eastAsia="仿宋" w:cs="Times New Roman"/>
          <w:sz w:val="24"/>
          <w:szCs w:val="24"/>
          <w:lang w:eastAsia="zh-CN"/>
        </w:rPr>
        <w:t>；</w:t>
      </w:r>
      <w:r>
        <w:rPr>
          <w:rFonts w:hint="eastAsia" w:ascii="仿宋" w:hAnsi="仿宋" w:eastAsia="仿宋" w:cs="Times New Roman"/>
          <w:sz w:val="24"/>
          <w:szCs w:val="24"/>
        </w:rPr>
        <w:t>不提供不得分。</w:t>
      </w:r>
    </w:p>
    <w:p w14:paraId="17D891F0">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24"/>
          <w:szCs w:val="24"/>
        </w:rPr>
      </w:pPr>
    </w:p>
    <w:p w14:paraId="1B53E4E1">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2FF357D0">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588705E7">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5EE88F59">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7C211721">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5521DF8C">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603D32CB">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7A9D341A">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57FC6B1E">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736CC2D4">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p>
    <w:p w14:paraId="334638FB">
      <w:pPr>
        <w:keepNext w:val="0"/>
        <w:keepLines w:val="0"/>
        <w:pageBreakBefore w:val="0"/>
        <w:widowControl w:val="0"/>
        <w:kinsoku/>
        <w:wordWrap/>
        <w:overflowPunct/>
        <w:topLinePunct w:val="0"/>
        <w:autoSpaceDE/>
        <w:autoSpaceDN/>
        <w:bidi w:val="0"/>
        <w:adjustRightInd/>
        <w:spacing w:line="500" w:lineRule="exact"/>
        <w:jc w:val="both"/>
        <w:textAlignment w:val="auto"/>
        <w:rPr>
          <w:rFonts w:ascii="方正小标宋_GBK" w:hAnsi="等线" w:eastAsia="方正小标宋_GBK" w:cs="Times New Roman"/>
          <w:sz w:val="36"/>
          <w:szCs w:val="36"/>
        </w:rPr>
      </w:pPr>
    </w:p>
    <w:p w14:paraId="59411052">
      <w:pPr>
        <w:keepNext w:val="0"/>
        <w:keepLines w:val="0"/>
        <w:pageBreakBefore w:val="0"/>
        <w:widowControl w:val="0"/>
        <w:kinsoku/>
        <w:wordWrap/>
        <w:overflowPunct/>
        <w:topLinePunct w:val="0"/>
        <w:autoSpaceDE/>
        <w:autoSpaceDN/>
        <w:bidi w:val="0"/>
        <w:adjustRightInd/>
        <w:spacing w:line="500" w:lineRule="exact"/>
        <w:jc w:val="center"/>
        <w:textAlignment w:val="auto"/>
        <w:rPr>
          <w:rFonts w:hint="eastAsia" w:ascii="方正小标宋_GBK" w:hAnsi="等线" w:eastAsia="方正小标宋_GBK" w:cs="Times New Roman"/>
          <w:sz w:val="36"/>
          <w:szCs w:val="36"/>
        </w:rPr>
      </w:pPr>
      <w:r>
        <w:rPr>
          <w:rFonts w:hint="eastAsia" w:ascii="方正小标宋_GBK" w:hAnsi="等线" w:eastAsia="方正小标宋_GBK" w:cs="Times New Roman"/>
          <w:sz w:val="36"/>
          <w:szCs w:val="36"/>
        </w:rPr>
        <w:t>2025年苏州大学食堂伙食物资供应商评分标准</w:t>
      </w:r>
    </w:p>
    <w:p w14:paraId="1E8FDFAC">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黑体" w:hAnsi="黑体" w:eastAsia="黑体" w:cs="Times New Roman"/>
          <w:sz w:val="28"/>
          <w:szCs w:val="28"/>
        </w:rPr>
      </w:pPr>
      <w:r>
        <w:rPr>
          <w:rFonts w:hint="eastAsia" w:ascii="黑体" w:hAnsi="黑体" w:eastAsia="黑体" w:cs="Times New Roman"/>
          <w:sz w:val="28"/>
          <w:szCs w:val="28"/>
        </w:rPr>
        <w:t>（适用于标段3：鲜肉；标段4：冷荤制品、冷冻半成品；标段5：水产品；标段6：调味品、南北货、米面制品）</w:t>
      </w:r>
    </w:p>
    <w:p w14:paraId="247E8E5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bCs/>
          <w:color w:val="000000"/>
          <w:kern w:val="0"/>
          <w:sz w:val="24"/>
          <w:szCs w:val="24"/>
        </w:rPr>
        <w:t>本次招标采用综合评分法，总分为</w:t>
      </w:r>
      <w:r>
        <w:rPr>
          <w:rFonts w:ascii="仿宋" w:hAnsi="仿宋" w:eastAsia="仿宋" w:cs="Times New Roman"/>
          <w:bCs/>
          <w:color w:val="000000"/>
          <w:kern w:val="0"/>
          <w:sz w:val="24"/>
          <w:szCs w:val="24"/>
        </w:rPr>
        <w:t>100</w:t>
      </w:r>
      <w:r>
        <w:rPr>
          <w:rFonts w:hint="eastAsia" w:ascii="仿宋" w:hAnsi="仿宋" w:eastAsia="仿宋" w:cs="Times New Roman"/>
          <w:bCs/>
          <w:color w:val="000000"/>
          <w:kern w:val="0"/>
          <w:sz w:val="24"/>
          <w:szCs w:val="24"/>
        </w:rPr>
        <w:t>分，具体内容如下：</w:t>
      </w:r>
    </w:p>
    <w:p w14:paraId="44F57E4B">
      <w:pPr>
        <w:keepNext w:val="0"/>
        <w:keepLines w:val="0"/>
        <w:pageBreakBefore w:val="0"/>
        <w:widowControl w:val="0"/>
        <w:kinsoku/>
        <w:wordWrap/>
        <w:overflowPunct/>
        <w:topLinePunct w:val="0"/>
        <w:autoSpaceDE/>
        <w:autoSpaceDN/>
        <w:bidi w:val="0"/>
        <w:adjustRightInd/>
        <w:spacing w:line="500" w:lineRule="exact"/>
        <w:ind w:firstLine="240" w:firstLineChars="100"/>
        <w:jc w:val="left"/>
        <w:textAlignment w:val="auto"/>
        <w:rPr>
          <w:rFonts w:ascii="楷体_GB2312" w:hAnsi="仿宋" w:eastAsia="楷体_GB2312" w:cs="Times New Roman"/>
          <w:sz w:val="24"/>
          <w:szCs w:val="24"/>
        </w:rPr>
      </w:pPr>
      <w:r>
        <w:rPr>
          <w:rFonts w:hint="eastAsia" w:ascii="楷体_GB2312" w:hAnsi="仿宋" w:eastAsia="楷体_GB2312" w:cs="Times New Roman"/>
          <w:bCs/>
          <w:sz w:val="24"/>
          <w:szCs w:val="24"/>
        </w:rPr>
        <w:t>（一）</w:t>
      </w:r>
      <w:r>
        <w:rPr>
          <w:rFonts w:hint="eastAsia" w:ascii="楷体_GB2312" w:hAnsi="仿宋" w:eastAsia="楷体_GB2312" w:cs="Times New Roman"/>
          <w:sz w:val="24"/>
          <w:szCs w:val="24"/>
        </w:rPr>
        <w:t>价格分 （35分）</w:t>
      </w:r>
    </w:p>
    <w:p w14:paraId="18FADA9D">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价格分采用低价优先法计算，即在所有投标单位标的物清单各项明细报价中选择最低的报价确定为该项明细报价的基准报价。</w:t>
      </w:r>
    </w:p>
    <w:p w14:paraId="6AA18AEE">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.将该项明细项所有合格投标人报价与该明细项的基准报价相比较：等于基准报价的该项明细得满分，其他投标人的该项明细价格分按照下列公式计算（计算结果四舍五入保留两位小数）：</w:t>
      </w:r>
      <w:r>
        <w:rPr>
          <w:rFonts w:hint="eastAsia" w:ascii="仿宋" w:hAnsi="仿宋" w:eastAsia="仿宋" w:cs="Times New Roman"/>
          <w:b/>
          <w:bCs/>
          <w:sz w:val="24"/>
          <w:szCs w:val="24"/>
        </w:rPr>
        <w:t>明细项投标报价得分=(明细项基准报价/明细项投标报价)*35</w:t>
      </w:r>
      <w:r>
        <w:rPr>
          <w:rFonts w:ascii="仿宋" w:hAnsi="仿宋" w:eastAsia="仿宋" w:cs="Times New Roman"/>
          <w:b/>
          <w:bCs/>
          <w:sz w:val="24"/>
          <w:szCs w:val="24"/>
        </w:rPr>
        <w:t>%</w:t>
      </w:r>
      <w:r>
        <w:rPr>
          <w:rFonts w:hint="eastAsia" w:ascii="仿宋" w:hAnsi="仿宋" w:eastAsia="仿宋" w:cs="Times New Roman"/>
          <w:b/>
          <w:bCs/>
          <w:sz w:val="24"/>
          <w:szCs w:val="24"/>
        </w:rPr>
        <w:t>*</w:t>
      </w:r>
      <w:r>
        <w:rPr>
          <w:rFonts w:ascii="仿宋" w:hAnsi="仿宋" w:eastAsia="仿宋" w:cs="Times New Roman"/>
          <w:b/>
          <w:bCs/>
          <w:sz w:val="24"/>
          <w:szCs w:val="24"/>
        </w:rPr>
        <w:t>100</w:t>
      </w:r>
    </w:p>
    <w:p w14:paraId="525BBAC1">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sz w:val="24"/>
          <w:szCs w:val="24"/>
        </w:rPr>
      </w:pPr>
      <w:r>
        <w:rPr>
          <w:rFonts w:ascii="仿宋" w:hAnsi="仿宋" w:eastAsia="仿宋" w:cs="Times New Roman"/>
          <w:b/>
          <w:bCs/>
          <w:sz w:val="24"/>
          <w:szCs w:val="24"/>
        </w:rPr>
        <w:t>3.</w:t>
      </w:r>
      <w:r>
        <w:rPr>
          <w:rFonts w:hint="eastAsia" w:ascii="仿宋" w:hAnsi="仿宋" w:eastAsia="仿宋" w:cs="Times New Roman"/>
          <w:b/>
          <w:bCs/>
          <w:sz w:val="24"/>
          <w:szCs w:val="24"/>
          <w:lang w:val="en-US" w:eastAsia="zh-CN"/>
        </w:rPr>
        <w:t>各投标人</w:t>
      </w:r>
      <w:r>
        <w:rPr>
          <w:rFonts w:hint="eastAsia" w:ascii="仿宋" w:hAnsi="仿宋" w:eastAsia="仿宋" w:cs="Times New Roman"/>
          <w:b/>
          <w:bCs/>
          <w:sz w:val="24"/>
          <w:szCs w:val="24"/>
        </w:rPr>
        <w:t>投标报价得分＝各明细项投标报价得分汇总</w:t>
      </w:r>
      <w:r>
        <w:rPr>
          <w:rFonts w:ascii="仿宋" w:hAnsi="仿宋" w:eastAsia="仿宋" w:cs="Times New Roman"/>
          <w:b/>
          <w:bCs/>
          <w:sz w:val="24"/>
          <w:szCs w:val="24"/>
        </w:rPr>
        <w:t>/</w:t>
      </w:r>
      <w:r>
        <w:rPr>
          <w:rFonts w:hint="eastAsia" w:ascii="仿宋" w:hAnsi="仿宋" w:eastAsia="仿宋" w:cs="Times New Roman"/>
          <w:b/>
          <w:bCs/>
          <w:sz w:val="24"/>
          <w:szCs w:val="24"/>
        </w:rPr>
        <w:t>明细项目总个数</w:t>
      </w:r>
    </w:p>
    <w:p w14:paraId="060B5D6D">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w:t>
      </w:r>
      <w:r>
        <w:rPr>
          <w:rFonts w:ascii="仿宋" w:hAnsi="仿宋" w:eastAsia="仿宋" w:cs="Times New Roman"/>
          <w:b/>
          <w:bCs/>
          <w:color w:val="FF0000"/>
          <w:kern w:val="0"/>
          <w:sz w:val="24"/>
          <w:szCs w:val="24"/>
        </w:rPr>
        <w:t>1）</w:t>
      </w:r>
      <w:r>
        <w:rPr>
          <w:rFonts w:hint="eastAsia" w:ascii="仿宋" w:hAnsi="仿宋" w:eastAsia="仿宋" w:cs="Times New Roman"/>
          <w:b/>
          <w:bCs/>
          <w:color w:val="FF0000"/>
          <w:kern w:val="0"/>
          <w:sz w:val="24"/>
          <w:szCs w:val="24"/>
        </w:rPr>
        <w:t>开标后五分钟内，须</w:t>
      </w:r>
      <w:r>
        <w:rPr>
          <w:rFonts w:ascii="仿宋" w:hAnsi="仿宋" w:eastAsia="仿宋" w:cs="Times New Roman"/>
          <w:b/>
          <w:bCs/>
          <w:color w:val="FF0000"/>
          <w:kern w:val="0"/>
          <w:sz w:val="24"/>
          <w:szCs w:val="24"/>
        </w:rPr>
        <w:t>将</w:t>
      </w:r>
      <w:r>
        <w:rPr>
          <w:rFonts w:hint="eastAsia" w:ascii="仿宋" w:hAnsi="仿宋" w:eastAsia="仿宋" w:cs="Times New Roman"/>
          <w:b/>
          <w:bCs/>
          <w:color w:val="FF0000"/>
          <w:kern w:val="0"/>
          <w:sz w:val="24"/>
          <w:szCs w:val="24"/>
        </w:rPr>
        <w:t>投标报价表Excel版，通过电子邮件发送至xnchen</w:t>
      </w:r>
      <w:r>
        <w:rPr>
          <w:rFonts w:ascii="仿宋" w:hAnsi="仿宋" w:eastAsia="仿宋" w:cs="Times New Roman"/>
          <w:b/>
          <w:bCs/>
          <w:color w:val="FF0000"/>
          <w:kern w:val="0"/>
          <w:sz w:val="24"/>
          <w:szCs w:val="24"/>
        </w:rPr>
        <w:t>@suda.edu.cn</w:t>
      </w:r>
      <w:r>
        <w:rPr>
          <w:rFonts w:hint="eastAsia" w:ascii="仿宋" w:hAnsi="仿宋" w:eastAsia="仿宋" w:cs="Times New Roman"/>
          <w:b/>
          <w:bCs/>
          <w:color w:val="FF0000"/>
          <w:kern w:val="0"/>
          <w:sz w:val="24"/>
          <w:szCs w:val="24"/>
        </w:rPr>
        <w:t>。</w:t>
      </w:r>
    </w:p>
    <w:p w14:paraId="418E8824">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（2）投标报价</w:t>
      </w:r>
      <w:r>
        <w:rPr>
          <w:rFonts w:ascii="仿宋" w:hAnsi="仿宋" w:eastAsia="仿宋" w:cs="Times New Roman"/>
          <w:b/>
          <w:bCs/>
          <w:color w:val="FF0000"/>
          <w:kern w:val="0"/>
          <w:sz w:val="24"/>
          <w:szCs w:val="24"/>
        </w:rPr>
        <w:t>表</w:t>
      </w:r>
      <w:r>
        <w:rPr>
          <w:rFonts w:hint="eastAsia" w:ascii="仿宋" w:hAnsi="仿宋" w:eastAsia="仿宋" w:cs="Times New Roman"/>
          <w:b/>
          <w:bCs/>
          <w:color w:val="FF0000"/>
          <w:kern w:val="0"/>
          <w:sz w:val="24"/>
          <w:szCs w:val="24"/>
        </w:rPr>
        <w:t>不得作</w:t>
      </w:r>
      <w:r>
        <w:rPr>
          <w:rFonts w:ascii="仿宋" w:hAnsi="仿宋" w:eastAsia="仿宋" w:cs="Times New Roman"/>
          <w:b/>
          <w:bCs/>
          <w:color w:val="FF0000"/>
          <w:kern w:val="0"/>
          <w:sz w:val="24"/>
          <w:szCs w:val="24"/>
        </w:rPr>
        <w:t>任何变</w:t>
      </w:r>
      <w:r>
        <w:rPr>
          <w:rFonts w:hint="eastAsia" w:ascii="仿宋" w:hAnsi="仿宋" w:eastAsia="仿宋" w:cs="Times New Roman"/>
          <w:b/>
          <w:bCs/>
          <w:color w:val="FF0000"/>
          <w:kern w:val="0"/>
          <w:sz w:val="24"/>
          <w:szCs w:val="24"/>
        </w:rPr>
        <w:t>更，其明细内容及顺序若有调整，将视为非实质性响应。</w:t>
      </w:r>
    </w:p>
    <w:p w14:paraId="6A8F537A">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color w:val="FF0000"/>
          <w:kern w:val="0"/>
          <w:sz w:val="24"/>
          <w:szCs w:val="24"/>
        </w:rPr>
        <w:t>（3）投标人未按报价文件格式要求报价，或出现少报、漏报的，均按无效投标处理。</w:t>
      </w:r>
    </w:p>
    <w:p w14:paraId="24186657">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018C02B6">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（二）企业认证证书及获奖证书（</w:t>
      </w:r>
      <w:r>
        <w:rPr>
          <w:rFonts w:ascii="楷体_GB2312" w:hAnsi="仿宋" w:eastAsia="楷体_GB2312" w:cs="Times New Roman"/>
          <w:sz w:val="24"/>
          <w:szCs w:val="24"/>
        </w:rPr>
        <w:t>5</w:t>
      </w:r>
      <w:r>
        <w:rPr>
          <w:rFonts w:hint="eastAsia" w:ascii="楷体_GB2312" w:hAnsi="仿宋" w:eastAsia="楷体_GB2312" w:cs="Times New Roman"/>
          <w:sz w:val="24"/>
          <w:szCs w:val="24"/>
        </w:rPr>
        <w:t>分）</w:t>
      </w:r>
    </w:p>
    <w:p w14:paraId="7350A2E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kern w:val="0"/>
          <w:sz w:val="24"/>
          <w:szCs w:val="24"/>
        </w:rPr>
        <w:t>投标单位具有</w:t>
      </w:r>
      <w:r>
        <w:rPr>
          <w:rFonts w:ascii="仿宋" w:hAnsi="仿宋" w:eastAsia="仿宋" w:cs="Times New Roman"/>
          <w:kern w:val="0"/>
          <w:sz w:val="24"/>
          <w:szCs w:val="24"/>
        </w:rPr>
        <w:t>ISO9001</w:t>
      </w:r>
      <w:r>
        <w:rPr>
          <w:rFonts w:hint="eastAsia" w:ascii="仿宋" w:hAnsi="仿宋" w:eastAsia="仿宋" w:cs="Times New Roman"/>
          <w:kern w:val="0"/>
          <w:sz w:val="24"/>
          <w:szCs w:val="24"/>
        </w:rPr>
        <w:t>质量管理体系认证证书、H</w:t>
      </w:r>
      <w:r>
        <w:rPr>
          <w:rFonts w:ascii="仿宋" w:hAnsi="仿宋" w:eastAsia="仿宋" w:cs="Times New Roman"/>
          <w:kern w:val="0"/>
          <w:sz w:val="24"/>
          <w:szCs w:val="24"/>
        </w:rPr>
        <w:t>ACCP或ISO22000</w:t>
      </w:r>
      <w:r>
        <w:rPr>
          <w:rFonts w:hint="eastAsia" w:ascii="仿宋" w:hAnsi="仿宋" w:eastAsia="仿宋" w:cs="Times New Roman"/>
          <w:kern w:val="0"/>
          <w:sz w:val="24"/>
          <w:szCs w:val="24"/>
        </w:rPr>
        <w:t>食品安全管理体系认证证书、</w:t>
      </w:r>
      <w:r>
        <w:rPr>
          <w:rFonts w:ascii="仿宋" w:hAnsi="仿宋" w:eastAsia="仿宋" w:cs="Times New Roman"/>
          <w:kern w:val="0"/>
          <w:sz w:val="24"/>
          <w:szCs w:val="24"/>
        </w:rPr>
        <w:t>ISO14000</w:t>
      </w:r>
      <w:r>
        <w:rPr>
          <w:rFonts w:hint="eastAsia" w:ascii="仿宋" w:hAnsi="仿宋" w:eastAsia="仿宋" w:cs="Times New Roman"/>
          <w:kern w:val="0"/>
          <w:sz w:val="24"/>
          <w:szCs w:val="24"/>
        </w:rPr>
        <w:t>环境管理体系认证证书，每提供一项有效期内证书得1分，最高得</w:t>
      </w:r>
      <w:r>
        <w:rPr>
          <w:rFonts w:ascii="仿宋" w:hAnsi="仿宋" w:eastAsia="仿宋" w:cs="Times New Roman"/>
          <w:kern w:val="0"/>
          <w:sz w:val="24"/>
          <w:szCs w:val="24"/>
        </w:rPr>
        <w:t>3</w:t>
      </w:r>
      <w:r>
        <w:rPr>
          <w:rFonts w:hint="eastAsia" w:ascii="仿宋" w:hAnsi="仿宋" w:eastAsia="仿宋" w:cs="Times New Roman"/>
          <w:kern w:val="0"/>
          <w:sz w:val="24"/>
          <w:szCs w:val="24"/>
        </w:rPr>
        <w:t>分。</w:t>
      </w:r>
    </w:p>
    <w:p w14:paraId="77859CB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2021年12月以来，投标单位获得政府部门颁发的奖项。每项得1分，最高得2分。</w:t>
      </w:r>
    </w:p>
    <w:p w14:paraId="5BDA9536">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注：以上须提供证书复印件或相关证明材料，否则不得分。</w:t>
      </w:r>
    </w:p>
    <w:p w14:paraId="33BC5F3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（三）服务业绩（12分）</w:t>
      </w:r>
    </w:p>
    <w:p w14:paraId="5C9DAEA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根据投标单位提供的自2021年12月以来（以合同签订时间为准）类似项目业绩进行评分。每项业绩须包括：（</w:t>
      </w:r>
      <w:r>
        <w:rPr>
          <w:rFonts w:ascii="仿宋" w:hAnsi="仿宋" w:eastAsia="仿宋" w:cs="Times New Roman"/>
          <w:sz w:val="24"/>
          <w:szCs w:val="24"/>
        </w:rPr>
        <w:t>1</w:t>
      </w:r>
      <w:r>
        <w:rPr>
          <w:rFonts w:hint="eastAsia" w:ascii="仿宋" w:hAnsi="仿宋" w:eastAsia="仿宋" w:cs="Times New Roman"/>
          <w:sz w:val="24"/>
          <w:szCs w:val="24"/>
        </w:rPr>
        <w:t>）不低于</w:t>
      </w:r>
      <w:r>
        <w:rPr>
          <w:rFonts w:ascii="仿宋" w:hAnsi="仿宋" w:eastAsia="仿宋" w:cs="Times New Roman"/>
          <w:sz w:val="24"/>
          <w:szCs w:val="24"/>
        </w:rPr>
        <w:t>6</w:t>
      </w:r>
      <w:r>
        <w:rPr>
          <w:rFonts w:hint="eastAsia" w:ascii="仿宋" w:hAnsi="仿宋" w:eastAsia="仿宋" w:cs="Times New Roman"/>
          <w:sz w:val="24"/>
          <w:szCs w:val="24"/>
        </w:rPr>
        <w:t>个月的供货合同；（</w:t>
      </w:r>
      <w:r>
        <w:rPr>
          <w:rFonts w:ascii="仿宋" w:hAnsi="仿宋" w:eastAsia="仿宋" w:cs="Times New Roman"/>
          <w:sz w:val="24"/>
          <w:szCs w:val="24"/>
        </w:rPr>
        <w:t>2</w:t>
      </w:r>
      <w:r>
        <w:rPr>
          <w:rFonts w:hint="eastAsia" w:ascii="仿宋" w:hAnsi="仿宋" w:eastAsia="仿宋" w:cs="Times New Roman"/>
          <w:sz w:val="24"/>
          <w:szCs w:val="24"/>
        </w:rPr>
        <w:t>）合同供货清单须包含所投标段的品类、全部或部分品种。每提供</w:t>
      </w:r>
      <w:r>
        <w:rPr>
          <w:rFonts w:ascii="仿宋" w:hAnsi="仿宋" w:eastAsia="仿宋" w:cs="Times New Roman"/>
          <w:sz w:val="24"/>
          <w:szCs w:val="24"/>
        </w:rPr>
        <w:t>1</w:t>
      </w:r>
      <w:r>
        <w:rPr>
          <w:rFonts w:hint="eastAsia" w:ascii="仿宋" w:hAnsi="仿宋" w:eastAsia="仿宋" w:cs="Times New Roman"/>
          <w:sz w:val="24"/>
          <w:szCs w:val="24"/>
        </w:rPr>
        <w:t>项完整业绩得</w:t>
      </w:r>
      <w:r>
        <w:rPr>
          <w:rFonts w:ascii="仿宋" w:hAnsi="仿宋" w:eastAsia="仿宋" w:cs="Times New Roman"/>
          <w:sz w:val="24"/>
          <w:szCs w:val="24"/>
        </w:rPr>
        <w:t>1</w:t>
      </w:r>
      <w:r>
        <w:rPr>
          <w:rFonts w:hint="eastAsia" w:ascii="仿宋" w:hAnsi="仿宋" w:eastAsia="仿宋" w:cs="Times New Roman"/>
          <w:sz w:val="24"/>
          <w:szCs w:val="24"/>
        </w:rPr>
        <w:t>分，最高得1</w:t>
      </w:r>
      <w:r>
        <w:rPr>
          <w:rFonts w:ascii="仿宋" w:hAnsi="仿宋" w:eastAsia="仿宋" w:cs="Times New Roman"/>
          <w:sz w:val="24"/>
          <w:szCs w:val="24"/>
        </w:rPr>
        <w:t>2</w:t>
      </w:r>
      <w:r>
        <w:rPr>
          <w:rFonts w:hint="eastAsia" w:ascii="仿宋" w:hAnsi="仿宋" w:eastAsia="仿宋" w:cs="Times New Roman"/>
          <w:sz w:val="24"/>
          <w:szCs w:val="24"/>
        </w:rPr>
        <w:t>分。</w:t>
      </w:r>
    </w:p>
    <w:p w14:paraId="2842F9B1">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注：须提供合同复印件，同一单位业绩不重复计分。中标后，中标单位须提供上述合同原件供学校核查。</w:t>
      </w:r>
    </w:p>
    <w:p w14:paraId="2C71C2C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（四）仓储面积（8分）</w:t>
      </w:r>
    </w:p>
    <w:p w14:paraId="760922E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（1）适用于第</w:t>
      </w:r>
      <w:r>
        <w:rPr>
          <w:rFonts w:ascii="仿宋" w:hAnsi="仿宋" w:eastAsia="仿宋" w:cs="Times New Roman"/>
          <w:bCs/>
          <w:sz w:val="24"/>
          <w:szCs w:val="24"/>
        </w:rPr>
        <w:t>6</w:t>
      </w:r>
      <w:r>
        <w:rPr>
          <w:rFonts w:hint="eastAsia" w:ascii="仿宋" w:hAnsi="仿宋" w:eastAsia="仿宋" w:cs="Times New Roman"/>
          <w:bCs/>
          <w:sz w:val="24"/>
          <w:szCs w:val="24"/>
        </w:rPr>
        <w:t>标段：仓储面积低于</w:t>
      </w:r>
      <w:r>
        <w:rPr>
          <w:rFonts w:ascii="仿宋" w:hAnsi="仿宋" w:eastAsia="仿宋" w:cs="Times New Roman"/>
          <w:bCs/>
          <w:sz w:val="24"/>
          <w:szCs w:val="24"/>
        </w:rPr>
        <w:t>500</w:t>
      </w:r>
      <w:r>
        <w:rPr>
          <w:rFonts w:hint="eastAsia" w:ascii="仿宋" w:hAnsi="仿宋" w:eastAsia="仿宋" w:cs="Times New Roman"/>
          <w:bCs/>
          <w:sz w:val="24"/>
          <w:szCs w:val="24"/>
        </w:rPr>
        <w:t>平方米不得分，每满</w:t>
      </w:r>
      <w:r>
        <w:rPr>
          <w:rFonts w:ascii="仿宋" w:hAnsi="仿宋" w:eastAsia="仿宋" w:cs="Times New Roman"/>
          <w:bCs/>
          <w:sz w:val="24"/>
          <w:szCs w:val="24"/>
        </w:rPr>
        <w:t>500</w:t>
      </w:r>
      <w:r>
        <w:rPr>
          <w:rFonts w:hint="eastAsia" w:ascii="仿宋" w:hAnsi="仿宋" w:eastAsia="仿宋" w:cs="Times New Roman"/>
          <w:bCs/>
          <w:sz w:val="24"/>
          <w:szCs w:val="24"/>
        </w:rPr>
        <w:t>平方米加</w:t>
      </w:r>
      <w:r>
        <w:rPr>
          <w:rFonts w:ascii="仿宋" w:hAnsi="仿宋" w:eastAsia="仿宋" w:cs="Times New Roman"/>
          <w:bCs/>
          <w:sz w:val="24"/>
          <w:szCs w:val="24"/>
        </w:rPr>
        <w:t>2</w:t>
      </w:r>
      <w:r>
        <w:rPr>
          <w:rFonts w:hint="eastAsia" w:ascii="仿宋" w:hAnsi="仿宋" w:eastAsia="仿宋" w:cs="Times New Roman"/>
          <w:bCs/>
          <w:sz w:val="24"/>
          <w:szCs w:val="24"/>
        </w:rPr>
        <w:t>分，</w:t>
      </w:r>
      <w:r>
        <w:rPr>
          <w:rFonts w:ascii="仿宋" w:hAnsi="仿宋" w:eastAsia="仿宋" w:cs="Times New Roman"/>
          <w:bCs/>
          <w:sz w:val="24"/>
          <w:szCs w:val="24"/>
        </w:rPr>
        <w:t>最高加8</w:t>
      </w:r>
      <w:r>
        <w:rPr>
          <w:rFonts w:hint="eastAsia" w:ascii="仿宋" w:hAnsi="仿宋" w:eastAsia="仿宋" w:cs="Times New Roman"/>
          <w:bCs/>
          <w:sz w:val="24"/>
          <w:szCs w:val="24"/>
        </w:rPr>
        <w:t>分。</w:t>
      </w:r>
    </w:p>
    <w:p w14:paraId="1C7A2403">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（2）适用于第3、4、</w:t>
      </w:r>
      <w:r>
        <w:rPr>
          <w:rFonts w:ascii="仿宋" w:hAnsi="仿宋" w:eastAsia="仿宋" w:cs="Times New Roman"/>
          <w:bCs/>
          <w:sz w:val="24"/>
          <w:szCs w:val="24"/>
        </w:rPr>
        <w:t>5</w:t>
      </w:r>
      <w:r>
        <w:rPr>
          <w:rFonts w:hint="eastAsia" w:ascii="仿宋" w:hAnsi="仿宋" w:eastAsia="仿宋" w:cs="Times New Roman"/>
          <w:bCs/>
          <w:sz w:val="24"/>
          <w:szCs w:val="24"/>
        </w:rPr>
        <w:t>标段：</w:t>
      </w:r>
      <w:r>
        <w:rPr>
          <w:rFonts w:hint="eastAsia" w:ascii="仿宋" w:hAnsi="仿宋" w:eastAsia="仿宋" w:cs="宋体"/>
          <w:bCs/>
          <w:color w:val="000000"/>
          <w:kern w:val="0"/>
          <w:sz w:val="24"/>
          <w:szCs w:val="24"/>
        </w:rPr>
        <w:t>冷链仓储面积低于</w:t>
      </w:r>
      <w:r>
        <w:rPr>
          <w:rFonts w:ascii="仿宋" w:hAnsi="仿宋" w:eastAsia="仿宋" w:cs="宋体"/>
          <w:bCs/>
          <w:color w:val="000000"/>
          <w:kern w:val="0"/>
          <w:sz w:val="24"/>
          <w:szCs w:val="24"/>
        </w:rPr>
        <w:t>500</w:t>
      </w:r>
      <w:r>
        <w:rPr>
          <w:rFonts w:hint="eastAsia" w:ascii="仿宋" w:hAnsi="仿宋" w:eastAsia="仿宋" w:cs="宋体"/>
          <w:bCs/>
          <w:color w:val="000000"/>
          <w:kern w:val="0"/>
          <w:sz w:val="24"/>
          <w:szCs w:val="24"/>
        </w:rPr>
        <w:t>平方米不得分，每满</w:t>
      </w:r>
      <w:r>
        <w:rPr>
          <w:rFonts w:ascii="仿宋" w:hAnsi="仿宋" w:eastAsia="仿宋" w:cs="宋体"/>
          <w:bCs/>
          <w:color w:val="000000"/>
          <w:kern w:val="0"/>
          <w:sz w:val="24"/>
          <w:szCs w:val="24"/>
        </w:rPr>
        <w:t xml:space="preserve">500 </w:t>
      </w:r>
      <w:r>
        <w:rPr>
          <w:rFonts w:hint="eastAsia" w:ascii="仿宋" w:hAnsi="仿宋" w:eastAsia="仿宋" w:cs="宋体"/>
          <w:bCs/>
          <w:color w:val="000000"/>
          <w:kern w:val="0"/>
          <w:sz w:val="24"/>
          <w:szCs w:val="24"/>
        </w:rPr>
        <w:t>平方米加</w:t>
      </w:r>
      <w:r>
        <w:rPr>
          <w:rFonts w:ascii="仿宋" w:hAnsi="仿宋" w:eastAsia="仿宋" w:cs="宋体"/>
          <w:bCs/>
          <w:color w:val="000000"/>
          <w:kern w:val="0"/>
          <w:sz w:val="24"/>
          <w:szCs w:val="24"/>
        </w:rPr>
        <w:t>2</w:t>
      </w:r>
      <w:r>
        <w:rPr>
          <w:rFonts w:hint="eastAsia" w:ascii="仿宋" w:hAnsi="仿宋" w:eastAsia="仿宋" w:cs="宋体"/>
          <w:bCs/>
          <w:color w:val="000000"/>
          <w:kern w:val="0"/>
          <w:sz w:val="24"/>
          <w:szCs w:val="24"/>
        </w:rPr>
        <w:t>分，</w:t>
      </w:r>
      <w:r>
        <w:rPr>
          <w:rFonts w:ascii="仿宋" w:hAnsi="仿宋" w:eastAsia="仿宋" w:cs="宋体"/>
          <w:bCs/>
          <w:color w:val="000000"/>
          <w:kern w:val="0"/>
          <w:sz w:val="24"/>
          <w:szCs w:val="24"/>
        </w:rPr>
        <w:t>最高加</w:t>
      </w:r>
      <w:r>
        <w:rPr>
          <w:rFonts w:hint="eastAsia" w:ascii="仿宋" w:hAnsi="仿宋" w:eastAsia="仿宋" w:cs="宋体"/>
          <w:bCs/>
          <w:color w:val="000000"/>
          <w:kern w:val="0"/>
          <w:sz w:val="24"/>
          <w:szCs w:val="24"/>
        </w:rPr>
        <w:t>8分。</w:t>
      </w:r>
    </w:p>
    <w:p w14:paraId="578DC3A0">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注：自有的须提供相关产权证明复印件，租赁的须提供租赁协议及出租方相关产权证明复印件。上述资料不提供或提供不全的，不得分。中标后，中标单位提供上述租赁协议原件供学校核查。</w:t>
      </w:r>
    </w:p>
    <w:p w14:paraId="7496AFC2">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bookmarkStart w:id="2" w:name="_GoBack"/>
      <w:r>
        <w:rPr>
          <w:rFonts w:hint="eastAsia" w:ascii="楷体_GB2312" w:hAnsi="仿宋" w:eastAsia="楷体_GB2312" w:cs="Times New Roman"/>
          <w:sz w:val="24"/>
          <w:szCs w:val="24"/>
        </w:rPr>
        <w:t>（五）运输能力（4分）</w:t>
      </w:r>
    </w:p>
    <w:p w14:paraId="53E18F2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根据投标单位提供的运输车辆情况进行评分（3、</w:t>
      </w:r>
      <w:r>
        <w:rPr>
          <w:rFonts w:ascii="仿宋" w:hAnsi="仿宋" w:eastAsia="仿宋" w:cs="Times New Roman"/>
          <w:sz w:val="24"/>
          <w:szCs w:val="24"/>
        </w:rPr>
        <w:t>4</w:t>
      </w:r>
      <w:r>
        <w:rPr>
          <w:rFonts w:hint="eastAsia" w:ascii="仿宋" w:hAnsi="仿宋" w:eastAsia="仿宋" w:cs="Times New Roman"/>
          <w:sz w:val="24"/>
          <w:szCs w:val="24"/>
        </w:rPr>
        <w:t>、</w:t>
      </w:r>
      <w:r>
        <w:rPr>
          <w:rFonts w:ascii="仿宋" w:hAnsi="仿宋" w:eastAsia="仿宋" w:cs="Times New Roman"/>
          <w:sz w:val="24"/>
          <w:szCs w:val="24"/>
        </w:rPr>
        <w:t>5</w:t>
      </w:r>
      <w:r>
        <w:rPr>
          <w:rFonts w:hint="eastAsia" w:ascii="仿宋" w:hAnsi="仿宋" w:eastAsia="仿宋" w:cs="Times New Roman"/>
          <w:sz w:val="24"/>
          <w:szCs w:val="24"/>
        </w:rPr>
        <w:t>标段仅考察冷链运输车），少于4辆不得分，每满4辆加</w:t>
      </w:r>
      <w:r>
        <w:rPr>
          <w:rFonts w:ascii="仿宋" w:hAnsi="仿宋" w:eastAsia="仿宋" w:cs="Times New Roman"/>
          <w:sz w:val="24"/>
          <w:szCs w:val="24"/>
        </w:rPr>
        <w:t>2</w:t>
      </w:r>
      <w:r>
        <w:rPr>
          <w:rFonts w:hint="eastAsia" w:ascii="仿宋" w:hAnsi="仿宋" w:eastAsia="仿宋" w:cs="Times New Roman"/>
          <w:sz w:val="24"/>
          <w:szCs w:val="24"/>
        </w:rPr>
        <w:t>分，最高得4分。</w:t>
      </w:r>
    </w:p>
    <w:p w14:paraId="0F3C9CF7">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注：自有运输车辆须提供运输车辆的机</w:t>
      </w:r>
      <w:bookmarkEnd w:id="2"/>
      <w:r>
        <w:rPr>
          <w:rFonts w:hint="eastAsia" w:ascii="仿宋" w:hAnsi="仿宋" w:eastAsia="仿宋" w:cs="Times New Roman"/>
          <w:b/>
          <w:bCs/>
          <w:sz w:val="24"/>
          <w:szCs w:val="24"/>
        </w:rPr>
        <w:t>动车行驶证复印件；租赁的须提供租赁协议及运输车辆的机动车行驶证复印件。上述资料不提供或提供不全的，不得分。</w:t>
      </w:r>
    </w:p>
    <w:p w14:paraId="235E5725">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w:t>
      </w:r>
      <w:r>
        <w:rPr>
          <w:rFonts w:hint="eastAsia" w:ascii="楷体_GB2312" w:hAnsi="仿宋" w:eastAsia="楷体_GB2312" w:cs="Times New Roman"/>
          <w:sz w:val="24"/>
          <w:szCs w:val="24"/>
          <w:lang w:val="en-US" w:eastAsia="zh-CN"/>
        </w:rPr>
        <w:t>六</w:t>
      </w:r>
      <w:r>
        <w:rPr>
          <w:rFonts w:hint="eastAsia" w:ascii="楷体_GB2312" w:hAnsi="仿宋" w:eastAsia="楷体_GB2312" w:cs="Times New Roman"/>
          <w:sz w:val="24"/>
          <w:szCs w:val="24"/>
        </w:rPr>
        <w:t>）产品质量控制措施（</w:t>
      </w:r>
      <w:r>
        <w:rPr>
          <w:rFonts w:ascii="楷体_GB2312" w:hAnsi="仿宋" w:eastAsia="楷体_GB2312" w:cs="Times New Roman"/>
          <w:sz w:val="24"/>
          <w:szCs w:val="24"/>
        </w:rPr>
        <w:t>13</w:t>
      </w:r>
      <w:r>
        <w:rPr>
          <w:rFonts w:hint="eastAsia" w:ascii="楷体_GB2312" w:hAnsi="仿宋" w:eastAsia="楷体_GB2312" w:cs="Times New Roman"/>
          <w:sz w:val="24"/>
          <w:szCs w:val="24"/>
        </w:rPr>
        <w:t>分）</w:t>
      </w:r>
    </w:p>
    <w:p w14:paraId="7541EEBF">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对所供产品的食品安全负责，建立食品安全追溯系统，提供追溯系统二维码、现场能扫码查询登录，得</w:t>
      </w:r>
      <w:r>
        <w:rPr>
          <w:rFonts w:ascii="仿宋" w:hAnsi="仿宋" w:eastAsia="仿宋" w:cs="Times New Roman"/>
          <w:sz w:val="24"/>
          <w:szCs w:val="24"/>
        </w:rPr>
        <w:t>2</w:t>
      </w:r>
      <w:r>
        <w:rPr>
          <w:rFonts w:hint="eastAsia" w:ascii="仿宋" w:hAnsi="仿宋" w:eastAsia="仿宋" w:cs="Times New Roman"/>
          <w:sz w:val="24"/>
          <w:szCs w:val="24"/>
        </w:rPr>
        <w:t>分，未提供不得分。</w:t>
      </w:r>
    </w:p>
    <w:p w14:paraId="7D70FA16">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2</w:t>
      </w:r>
      <w:r>
        <w:rPr>
          <w:rFonts w:ascii="仿宋" w:hAnsi="仿宋" w:eastAsia="仿宋" w:cs="Times New Roman"/>
          <w:bCs/>
          <w:sz w:val="24"/>
          <w:szCs w:val="24"/>
        </w:rPr>
        <w:t>.</w:t>
      </w:r>
      <w:r>
        <w:rPr>
          <w:rFonts w:hint="eastAsia" w:ascii="仿宋" w:hAnsi="仿宋" w:eastAsia="仿宋" w:cs="Times New Roman"/>
          <w:bCs/>
          <w:sz w:val="24"/>
          <w:szCs w:val="24"/>
        </w:rPr>
        <w:t>有完善的管理方案和措施（含产品加工环节控制措施、产品品质检测控制措施、产品</w:t>
      </w:r>
      <w:r>
        <w:rPr>
          <w:rFonts w:hint="eastAsia" w:ascii="仿宋" w:hAnsi="仿宋" w:eastAsia="仿宋" w:cs="Times New Roman"/>
          <w:sz w:val="24"/>
          <w:szCs w:val="24"/>
        </w:rPr>
        <w:t>存储环节</w:t>
      </w:r>
      <w:r>
        <w:rPr>
          <w:rFonts w:hint="eastAsia" w:ascii="仿宋" w:hAnsi="仿宋" w:eastAsia="仿宋" w:cs="Times New Roman"/>
          <w:bCs/>
          <w:sz w:val="24"/>
          <w:szCs w:val="24"/>
        </w:rPr>
        <w:t>控制措施</w:t>
      </w:r>
      <w:r>
        <w:rPr>
          <w:rFonts w:hint="eastAsia" w:ascii="仿宋" w:hAnsi="仿宋" w:eastAsia="仿宋" w:cs="Times New Roman"/>
          <w:sz w:val="24"/>
          <w:szCs w:val="24"/>
        </w:rPr>
        <w:t>和产品运输环节</w:t>
      </w:r>
      <w:r>
        <w:rPr>
          <w:rFonts w:hint="eastAsia" w:ascii="仿宋" w:hAnsi="仿宋" w:eastAsia="仿宋" w:cs="Times New Roman"/>
          <w:bCs/>
          <w:sz w:val="24"/>
          <w:szCs w:val="24"/>
        </w:rPr>
        <w:t>控制措施）。管理方案完善详细，措施合理，操作性强的得1</w:t>
      </w:r>
      <w:r>
        <w:rPr>
          <w:rFonts w:ascii="仿宋" w:hAnsi="仿宋" w:eastAsia="仿宋" w:cs="Times New Roman"/>
          <w:bCs/>
          <w:sz w:val="24"/>
          <w:szCs w:val="24"/>
        </w:rPr>
        <w:t>1</w:t>
      </w:r>
      <w:r>
        <w:rPr>
          <w:rFonts w:hint="eastAsia" w:ascii="仿宋" w:hAnsi="仿宋" w:eastAsia="仿宋" w:cs="Times New Roman"/>
          <w:bCs/>
          <w:sz w:val="24"/>
          <w:szCs w:val="24"/>
        </w:rPr>
        <w:t>分；管理方案完善较详细，措施较合理，操作性较强的得</w:t>
      </w:r>
      <w:r>
        <w:rPr>
          <w:rFonts w:ascii="仿宋" w:hAnsi="仿宋" w:eastAsia="仿宋" w:cs="Times New Roman"/>
          <w:bCs/>
          <w:sz w:val="24"/>
          <w:szCs w:val="24"/>
        </w:rPr>
        <w:t>7</w:t>
      </w:r>
      <w:r>
        <w:rPr>
          <w:rFonts w:hint="eastAsia" w:ascii="仿宋" w:hAnsi="仿宋" w:eastAsia="仿宋" w:cs="Times New Roman"/>
          <w:bCs/>
          <w:sz w:val="24"/>
          <w:szCs w:val="24"/>
        </w:rPr>
        <w:t>分；管理方案简单，措施</w:t>
      </w:r>
      <w:r>
        <w:rPr>
          <w:rFonts w:hint="eastAsia" w:ascii="仿宋" w:hAnsi="仿宋" w:eastAsia="仿宋" w:cs="Times New Roman"/>
          <w:bCs/>
          <w:sz w:val="24"/>
          <w:szCs w:val="24"/>
          <w:lang w:val="en-US" w:eastAsia="zh-CN"/>
        </w:rPr>
        <w:t>部分合理</w:t>
      </w:r>
      <w:r>
        <w:rPr>
          <w:rFonts w:hint="eastAsia" w:ascii="仿宋" w:hAnsi="仿宋" w:eastAsia="仿宋" w:cs="Times New Roman"/>
          <w:bCs/>
          <w:sz w:val="24"/>
          <w:szCs w:val="24"/>
        </w:rPr>
        <w:t>，操作性</w:t>
      </w:r>
      <w:r>
        <w:rPr>
          <w:rFonts w:hint="eastAsia" w:ascii="仿宋" w:hAnsi="仿宋" w:eastAsia="仿宋" w:cs="Times New Roman"/>
          <w:bCs/>
          <w:sz w:val="24"/>
          <w:szCs w:val="24"/>
          <w:lang w:val="en-US" w:eastAsia="zh-CN"/>
        </w:rPr>
        <w:t>较弱</w:t>
      </w:r>
      <w:r>
        <w:rPr>
          <w:rFonts w:hint="eastAsia" w:ascii="仿宋" w:hAnsi="仿宋" w:eastAsia="仿宋" w:cs="Times New Roman"/>
          <w:bCs/>
          <w:sz w:val="24"/>
          <w:szCs w:val="24"/>
        </w:rPr>
        <w:t>的得</w:t>
      </w:r>
      <w:r>
        <w:rPr>
          <w:rFonts w:hint="eastAsia" w:ascii="仿宋" w:hAnsi="仿宋" w:eastAsia="仿宋" w:cs="Times New Roman"/>
          <w:bCs/>
          <w:sz w:val="24"/>
          <w:szCs w:val="24"/>
          <w:lang w:val="en-US" w:eastAsia="zh-CN"/>
        </w:rPr>
        <w:t>4</w:t>
      </w:r>
      <w:r>
        <w:rPr>
          <w:rFonts w:hint="eastAsia" w:ascii="仿宋" w:hAnsi="仿宋" w:eastAsia="仿宋" w:cs="Times New Roman"/>
          <w:bCs/>
          <w:sz w:val="24"/>
          <w:szCs w:val="24"/>
        </w:rPr>
        <w:t xml:space="preserve">分；管理方案内容缺失，措施不明确，操作性差的得1分；不提供不得分。 </w:t>
      </w:r>
    </w:p>
    <w:p w14:paraId="723722FD">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注：以上管理方案和措施需提供操作规范、检测设备场所等相关图片的证明材料。</w:t>
      </w:r>
    </w:p>
    <w:p w14:paraId="48462DA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Cs/>
          <w:sz w:val="24"/>
          <w:szCs w:val="24"/>
        </w:rPr>
      </w:pPr>
      <w:r>
        <w:rPr>
          <w:rFonts w:hint="eastAsia" w:ascii="楷体_GB2312" w:hAnsi="仿宋" w:eastAsia="楷体_GB2312" w:cs="Times New Roman"/>
          <w:bCs/>
          <w:sz w:val="24"/>
          <w:szCs w:val="24"/>
        </w:rPr>
        <w:t>（</w:t>
      </w:r>
      <w:r>
        <w:rPr>
          <w:rFonts w:hint="eastAsia" w:ascii="楷体_GB2312" w:hAnsi="仿宋" w:eastAsia="楷体_GB2312" w:cs="Times New Roman"/>
          <w:bCs/>
          <w:sz w:val="24"/>
          <w:szCs w:val="24"/>
          <w:lang w:val="en-US" w:eastAsia="zh-CN"/>
        </w:rPr>
        <w:t>七</w:t>
      </w:r>
      <w:r>
        <w:rPr>
          <w:rFonts w:hint="eastAsia" w:ascii="楷体_GB2312" w:hAnsi="仿宋" w:eastAsia="楷体_GB2312" w:cs="Times New Roman"/>
          <w:bCs/>
          <w:sz w:val="24"/>
          <w:szCs w:val="24"/>
        </w:rPr>
        <w:t>）服务团队配备（3分）</w:t>
      </w:r>
    </w:p>
    <w:p w14:paraId="47518514">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1.</w:t>
      </w:r>
      <w:r>
        <w:rPr>
          <w:rFonts w:hint="eastAsia" w:ascii="仿宋" w:hAnsi="仿宋" w:eastAsia="仿宋" w:cs="Times New Roman"/>
          <w:bCs/>
          <w:sz w:val="24"/>
          <w:szCs w:val="24"/>
        </w:rPr>
        <w:t>根据投标单位为所投标段配备的项目负责人情况</w:t>
      </w:r>
      <w:r>
        <w:rPr>
          <w:rFonts w:ascii="仿宋" w:hAnsi="仿宋" w:eastAsia="仿宋" w:cs="Times New Roman"/>
          <w:bCs/>
          <w:sz w:val="24"/>
          <w:szCs w:val="24"/>
        </w:rPr>
        <w:t>进行</w:t>
      </w:r>
      <w:r>
        <w:rPr>
          <w:rFonts w:hint="eastAsia" w:ascii="仿宋" w:hAnsi="仿宋" w:eastAsia="仿宋" w:cs="Times New Roman"/>
          <w:bCs/>
          <w:sz w:val="24"/>
          <w:szCs w:val="24"/>
        </w:rPr>
        <w:t>评分（</w:t>
      </w:r>
      <w:r>
        <w:rPr>
          <w:rFonts w:ascii="仿宋" w:hAnsi="仿宋" w:eastAsia="仿宋" w:cs="Times New Roman"/>
          <w:bCs/>
          <w:sz w:val="24"/>
          <w:szCs w:val="24"/>
        </w:rPr>
        <w:t>2分）</w:t>
      </w:r>
      <w:r>
        <w:rPr>
          <w:rFonts w:hint="eastAsia" w:ascii="仿宋" w:hAnsi="仿宋" w:eastAsia="仿宋" w:cs="Times New Roman"/>
          <w:bCs/>
          <w:sz w:val="24"/>
          <w:szCs w:val="24"/>
        </w:rPr>
        <w:t>。项目</w:t>
      </w:r>
      <w:r>
        <w:rPr>
          <w:rFonts w:ascii="仿宋" w:hAnsi="仿宋" w:eastAsia="仿宋" w:cs="Times New Roman"/>
          <w:bCs/>
          <w:sz w:val="24"/>
          <w:szCs w:val="24"/>
        </w:rPr>
        <w:t>负责人</w:t>
      </w:r>
      <w:r>
        <w:rPr>
          <w:rFonts w:hint="eastAsia" w:ascii="仿宋" w:hAnsi="仿宋" w:eastAsia="仿宋" w:cs="Times New Roman"/>
          <w:bCs/>
          <w:sz w:val="24"/>
          <w:szCs w:val="24"/>
        </w:rPr>
        <w:t>具有本科及以上学历的，得</w:t>
      </w:r>
      <w:r>
        <w:rPr>
          <w:rFonts w:ascii="仿宋" w:hAnsi="仿宋" w:eastAsia="仿宋" w:cs="Times New Roman"/>
          <w:bCs/>
          <w:sz w:val="24"/>
          <w:szCs w:val="24"/>
        </w:rPr>
        <w:t>1</w:t>
      </w:r>
      <w:r>
        <w:rPr>
          <w:rFonts w:hint="eastAsia" w:ascii="仿宋" w:hAnsi="仿宋" w:eastAsia="仿宋" w:cs="Times New Roman"/>
          <w:bCs/>
          <w:sz w:val="24"/>
          <w:szCs w:val="24"/>
        </w:rPr>
        <w:t>分；具有</w:t>
      </w:r>
      <w:r>
        <w:rPr>
          <w:rFonts w:ascii="仿宋" w:hAnsi="仿宋" w:eastAsia="仿宋" w:cs="Times New Roman"/>
          <w:bCs/>
          <w:sz w:val="24"/>
          <w:szCs w:val="24"/>
        </w:rPr>
        <w:t>3</w:t>
      </w:r>
      <w:r>
        <w:rPr>
          <w:rFonts w:hint="eastAsia" w:ascii="仿宋" w:hAnsi="仿宋" w:eastAsia="仿宋" w:cs="Times New Roman"/>
          <w:bCs/>
          <w:sz w:val="24"/>
          <w:szCs w:val="24"/>
        </w:rPr>
        <w:t>年及以上类似项目经历的，得</w:t>
      </w:r>
      <w:r>
        <w:rPr>
          <w:rFonts w:ascii="仿宋" w:hAnsi="仿宋" w:eastAsia="仿宋" w:cs="Times New Roman"/>
          <w:bCs/>
          <w:sz w:val="24"/>
          <w:szCs w:val="24"/>
        </w:rPr>
        <w:t>1</w:t>
      </w:r>
      <w:r>
        <w:rPr>
          <w:rFonts w:hint="eastAsia" w:ascii="仿宋" w:hAnsi="仿宋" w:eastAsia="仿宋" w:cs="Times New Roman"/>
          <w:bCs/>
          <w:sz w:val="24"/>
          <w:szCs w:val="24"/>
        </w:rPr>
        <w:t>分。</w:t>
      </w:r>
    </w:p>
    <w:p w14:paraId="1D6B3951">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除项目负责人外，为项目配备</w:t>
      </w:r>
      <w:r>
        <w:rPr>
          <w:rFonts w:ascii="仿宋" w:hAnsi="仿宋" w:eastAsia="仿宋" w:cs="Times New Roman"/>
          <w:bCs/>
          <w:sz w:val="24"/>
          <w:szCs w:val="24"/>
        </w:rPr>
        <w:t>2</w:t>
      </w:r>
      <w:r>
        <w:rPr>
          <w:rFonts w:hint="eastAsia" w:ascii="仿宋" w:hAnsi="仿宋" w:eastAsia="仿宋" w:cs="Times New Roman"/>
          <w:bCs/>
          <w:sz w:val="24"/>
          <w:szCs w:val="24"/>
        </w:rPr>
        <w:t>名骨干团队人员的，得</w:t>
      </w:r>
      <w:r>
        <w:rPr>
          <w:rFonts w:ascii="仿宋" w:hAnsi="仿宋" w:eastAsia="仿宋" w:cs="Times New Roman"/>
          <w:bCs/>
          <w:sz w:val="24"/>
          <w:szCs w:val="24"/>
        </w:rPr>
        <w:t>1</w:t>
      </w:r>
      <w:r>
        <w:rPr>
          <w:rFonts w:hint="eastAsia" w:ascii="仿宋" w:hAnsi="仿宋" w:eastAsia="仿宋" w:cs="Times New Roman"/>
          <w:bCs/>
          <w:sz w:val="24"/>
          <w:szCs w:val="24"/>
        </w:rPr>
        <w:t>分，</w:t>
      </w:r>
      <w:r>
        <w:rPr>
          <w:rFonts w:ascii="仿宋" w:hAnsi="仿宋" w:eastAsia="仿宋" w:cs="Times New Roman"/>
          <w:bCs/>
          <w:sz w:val="24"/>
          <w:szCs w:val="24"/>
        </w:rPr>
        <w:t>须提供</w:t>
      </w:r>
      <w:r>
        <w:rPr>
          <w:rFonts w:hint="eastAsia" w:ascii="仿宋" w:hAnsi="仿宋" w:eastAsia="仿宋" w:cs="Times New Roman"/>
          <w:bCs/>
          <w:sz w:val="24"/>
          <w:szCs w:val="24"/>
        </w:rPr>
        <w:t>人员名单和基本信息，否则不得分。</w:t>
      </w:r>
    </w:p>
    <w:p w14:paraId="3582A53A">
      <w:pPr>
        <w:keepNext w:val="0"/>
        <w:keepLines w:val="0"/>
        <w:pageBreakBefore w:val="0"/>
        <w:widowControl w:val="0"/>
        <w:kinsoku/>
        <w:wordWrap/>
        <w:overflowPunct/>
        <w:topLinePunct w:val="0"/>
        <w:autoSpaceDE/>
        <w:autoSpaceDN/>
        <w:bidi w:val="0"/>
        <w:adjustRightInd/>
        <w:spacing w:line="500" w:lineRule="exact"/>
        <w:jc w:val="left"/>
        <w:textAlignment w:val="auto"/>
        <w:rPr>
          <w:rFonts w:ascii="仿宋" w:hAnsi="仿宋" w:eastAsia="仿宋" w:cs="Times New Roman"/>
          <w:b/>
          <w:sz w:val="24"/>
          <w:szCs w:val="24"/>
        </w:rPr>
      </w:pPr>
      <w:r>
        <w:rPr>
          <w:rFonts w:hint="eastAsia" w:ascii="仿宋" w:hAnsi="仿宋" w:eastAsia="仿宋" w:cs="Times New Roman"/>
          <w:b/>
          <w:sz w:val="24"/>
          <w:szCs w:val="24"/>
        </w:rPr>
        <w:t xml:space="preserve"> </w:t>
      </w:r>
      <w:r>
        <w:rPr>
          <w:rFonts w:ascii="仿宋" w:hAnsi="仿宋" w:eastAsia="仿宋" w:cs="Times New Roman"/>
          <w:b/>
          <w:sz w:val="24"/>
          <w:szCs w:val="24"/>
        </w:rPr>
        <w:t xml:space="preserve">  </w:t>
      </w:r>
      <w:r>
        <w:rPr>
          <w:rFonts w:hint="eastAsia" w:ascii="仿宋" w:hAnsi="仿宋" w:eastAsia="仿宋" w:cs="Times New Roman"/>
          <w:b/>
          <w:sz w:val="24"/>
          <w:szCs w:val="24"/>
        </w:rPr>
        <w:t>注：以上须提供学历证书、劳动合同等相关证明材料及投标单位近</w:t>
      </w:r>
      <w:r>
        <w:rPr>
          <w:rFonts w:ascii="仿宋" w:hAnsi="仿宋" w:eastAsia="仿宋" w:cs="Times New Roman"/>
          <w:b/>
          <w:sz w:val="24"/>
          <w:szCs w:val="24"/>
        </w:rPr>
        <w:t>3</w:t>
      </w:r>
      <w:r>
        <w:rPr>
          <w:rFonts w:hint="eastAsia" w:ascii="仿宋" w:hAnsi="仿宋" w:eastAsia="仿宋" w:cs="Times New Roman"/>
          <w:b/>
          <w:sz w:val="24"/>
          <w:szCs w:val="24"/>
        </w:rPr>
        <w:t>个月为其</w:t>
      </w:r>
      <w:r>
        <w:rPr>
          <w:rFonts w:ascii="仿宋" w:hAnsi="仿宋" w:eastAsia="仿宋" w:cs="Times New Roman"/>
          <w:b/>
          <w:sz w:val="24"/>
          <w:szCs w:val="24"/>
        </w:rPr>
        <w:t>缴纳的</w:t>
      </w:r>
      <w:r>
        <w:rPr>
          <w:rFonts w:hint="eastAsia" w:ascii="仿宋" w:hAnsi="仿宋" w:eastAsia="仿宋" w:cs="Times New Roman"/>
          <w:b/>
          <w:sz w:val="24"/>
          <w:szCs w:val="24"/>
        </w:rPr>
        <w:t>社保证明复印件，否则不得分。</w:t>
      </w:r>
    </w:p>
    <w:p w14:paraId="700982E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w:t>
      </w:r>
      <w:r>
        <w:rPr>
          <w:rFonts w:hint="eastAsia" w:ascii="楷体_GB2312" w:hAnsi="仿宋" w:eastAsia="楷体_GB2312" w:cs="Times New Roman"/>
          <w:sz w:val="24"/>
          <w:szCs w:val="24"/>
          <w:lang w:val="en-US" w:eastAsia="zh-CN"/>
        </w:rPr>
        <w:t>八</w:t>
      </w:r>
      <w:r>
        <w:rPr>
          <w:rFonts w:hint="eastAsia" w:ascii="楷体_GB2312" w:hAnsi="仿宋" w:eastAsia="楷体_GB2312" w:cs="Times New Roman"/>
          <w:sz w:val="24"/>
          <w:szCs w:val="24"/>
        </w:rPr>
        <w:t>）食品安全责任险（3分）</w:t>
      </w:r>
    </w:p>
    <w:p w14:paraId="37EEBF4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投标单位连续三年及以上购买食品安全责任险，且每年总保额在</w:t>
      </w:r>
      <w:r>
        <w:rPr>
          <w:rFonts w:ascii="仿宋" w:hAnsi="仿宋" w:eastAsia="仿宋" w:cs="Times New Roman"/>
          <w:bCs/>
          <w:sz w:val="24"/>
          <w:szCs w:val="24"/>
        </w:rPr>
        <w:t>1000</w:t>
      </w:r>
      <w:r>
        <w:rPr>
          <w:rFonts w:hint="eastAsia" w:ascii="仿宋" w:hAnsi="仿宋" w:eastAsia="仿宋" w:cs="Times New Roman"/>
          <w:bCs/>
          <w:sz w:val="24"/>
          <w:szCs w:val="24"/>
        </w:rPr>
        <w:t>万元及以上的，得</w:t>
      </w:r>
      <w:r>
        <w:rPr>
          <w:rFonts w:ascii="仿宋" w:hAnsi="仿宋" w:eastAsia="仿宋" w:cs="Times New Roman"/>
          <w:bCs/>
          <w:sz w:val="24"/>
          <w:szCs w:val="24"/>
        </w:rPr>
        <w:t>3</w:t>
      </w:r>
      <w:r>
        <w:rPr>
          <w:rFonts w:hint="eastAsia" w:ascii="仿宋" w:hAnsi="仿宋" w:eastAsia="仿宋" w:cs="Times New Roman"/>
          <w:bCs/>
          <w:sz w:val="24"/>
          <w:szCs w:val="24"/>
        </w:rPr>
        <w:t>分；投标单位连续三年购买食品安全责任险，且年总保额在</w:t>
      </w:r>
      <w:r>
        <w:rPr>
          <w:rFonts w:ascii="仿宋" w:hAnsi="仿宋" w:eastAsia="仿宋" w:cs="Times New Roman"/>
          <w:bCs/>
          <w:sz w:val="24"/>
          <w:szCs w:val="24"/>
        </w:rPr>
        <w:t>500</w:t>
      </w:r>
      <w:r>
        <w:rPr>
          <w:rFonts w:hint="eastAsia" w:ascii="仿宋" w:hAnsi="仿宋" w:eastAsia="仿宋" w:cs="Times New Roman"/>
          <w:bCs/>
          <w:sz w:val="24"/>
          <w:szCs w:val="24"/>
        </w:rPr>
        <w:t>万元及以上、</w:t>
      </w:r>
      <w:r>
        <w:rPr>
          <w:rFonts w:ascii="仿宋" w:hAnsi="仿宋" w:eastAsia="仿宋" w:cs="Times New Roman"/>
          <w:bCs/>
          <w:sz w:val="24"/>
          <w:szCs w:val="24"/>
        </w:rPr>
        <w:t>1000</w:t>
      </w:r>
      <w:r>
        <w:rPr>
          <w:rFonts w:hint="eastAsia" w:ascii="仿宋" w:hAnsi="仿宋" w:eastAsia="仿宋" w:cs="Times New Roman"/>
          <w:bCs/>
          <w:sz w:val="24"/>
          <w:szCs w:val="24"/>
        </w:rPr>
        <w:t>万元以下的，得</w:t>
      </w:r>
      <w:r>
        <w:rPr>
          <w:rFonts w:ascii="仿宋" w:hAnsi="仿宋" w:eastAsia="仿宋" w:cs="Times New Roman"/>
          <w:bCs/>
          <w:sz w:val="24"/>
          <w:szCs w:val="24"/>
        </w:rPr>
        <w:t>2</w:t>
      </w:r>
      <w:r>
        <w:rPr>
          <w:rFonts w:hint="eastAsia" w:ascii="仿宋" w:hAnsi="仿宋" w:eastAsia="仿宋" w:cs="Times New Roman"/>
          <w:bCs/>
          <w:sz w:val="24"/>
          <w:szCs w:val="24"/>
        </w:rPr>
        <w:t>分；投标单位连续三年购买食品安全责任险，年总保额在</w:t>
      </w:r>
      <w:r>
        <w:rPr>
          <w:rFonts w:ascii="仿宋" w:hAnsi="仿宋" w:eastAsia="仿宋" w:cs="Times New Roman"/>
          <w:bCs/>
          <w:sz w:val="24"/>
          <w:szCs w:val="24"/>
        </w:rPr>
        <w:t>500</w:t>
      </w:r>
      <w:r>
        <w:rPr>
          <w:rFonts w:hint="eastAsia" w:ascii="仿宋" w:hAnsi="仿宋" w:eastAsia="仿宋" w:cs="Times New Roman"/>
          <w:bCs/>
          <w:sz w:val="24"/>
          <w:szCs w:val="24"/>
        </w:rPr>
        <w:t>万元以下的，得</w:t>
      </w:r>
      <w:r>
        <w:rPr>
          <w:rFonts w:ascii="仿宋" w:hAnsi="仿宋" w:eastAsia="仿宋" w:cs="Times New Roman"/>
          <w:bCs/>
          <w:sz w:val="24"/>
          <w:szCs w:val="24"/>
        </w:rPr>
        <w:t>1</w:t>
      </w:r>
      <w:r>
        <w:rPr>
          <w:rFonts w:hint="eastAsia" w:ascii="仿宋" w:hAnsi="仿宋" w:eastAsia="仿宋" w:cs="Times New Roman"/>
          <w:bCs/>
          <w:sz w:val="24"/>
          <w:szCs w:val="24"/>
        </w:rPr>
        <w:t>分。其他情况不得分。</w:t>
      </w:r>
    </w:p>
    <w:p w14:paraId="5D2D53B8">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注：以上须提供保险公司出具的“食品安全责任保险”保单的复印件，不提供不得分。</w:t>
      </w:r>
    </w:p>
    <w:p w14:paraId="2EF1B1E1">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
          <w:sz w:val="24"/>
          <w:szCs w:val="24"/>
        </w:rPr>
      </w:pPr>
      <w:r>
        <w:rPr>
          <w:rFonts w:hint="eastAsia" w:ascii="楷体_GB2312" w:hAnsi="仿宋" w:eastAsia="楷体_GB2312" w:cs="Times New Roman"/>
          <w:bCs/>
          <w:sz w:val="24"/>
          <w:szCs w:val="24"/>
        </w:rPr>
        <w:t>（</w:t>
      </w:r>
      <w:r>
        <w:rPr>
          <w:rFonts w:hint="eastAsia" w:ascii="楷体_GB2312" w:hAnsi="仿宋" w:eastAsia="楷体_GB2312" w:cs="Times New Roman"/>
          <w:bCs/>
          <w:sz w:val="24"/>
          <w:szCs w:val="24"/>
          <w:lang w:val="en-US" w:eastAsia="zh-CN"/>
        </w:rPr>
        <w:t>九</w:t>
      </w:r>
      <w:r>
        <w:rPr>
          <w:rFonts w:hint="eastAsia" w:ascii="楷体_GB2312" w:hAnsi="仿宋" w:eastAsia="楷体_GB2312" w:cs="Times New Roman"/>
          <w:bCs/>
          <w:sz w:val="24"/>
          <w:szCs w:val="24"/>
        </w:rPr>
        <w:t>）</w:t>
      </w:r>
      <w:r>
        <w:rPr>
          <w:rFonts w:hint="eastAsia" w:ascii="楷体_GB2312" w:hAnsi="仿宋" w:eastAsia="楷体_GB2312" w:cs="Times New Roman"/>
          <w:sz w:val="24"/>
          <w:szCs w:val="24"/>
        </w:rPr>
        <w:t>应急处理实施方案（</w:t>
      </w:r>
      <w:r>
        <w:rPr>
          <w:rFonts w:ascii="楷体_GB2312" w:hAnsi="仿宋" w:eastAsia="楷体_GB2312" w:cs="Times New Roman"/>
          <w:sz w:val="24"/>
          <w:szCs w:val="24"/>
        </w:rPr>
        <w:t>14</w:t>
      </w:r>
      <w:r>
        <w:rPr>
          <w:rFonts w:hint="eastAsia" w:ascii="楷体_GB2312" w:hAnsi="仿宋" w:eastAsia="楷体_GB2312" w:cs="Times New Roman"/>
          <w:sz w:val="24"/>
          <w:szCs w:val="24"/>
        </w:rPr>
        <w:t>分）</w:t>
      </w:r>
    </w:p>
    <w:p w14:paraId="5FC4593F">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应急处理实施方案（应急保供能力、应急预案、应急保供方案等），主要考察应急工作保障团队、物资采购渠道、储备情况、配送能力、应急联系方式（24小时待命），食品流通环节过程中出现问题的应急预案，受暴雨、冰灾、雪灾等影响期间提供的应急保供方案。</w:t>
      </w:r>
    </w:p>
    <w:p w14:paraId="0941DE2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应急处理实施方案完善、细致，操作性强的得</w:t>
      </w:r>
      <w:r>
        <w:rPr>
          <w:rFonts w:ascii="仿宋" w:hAnsi="仿宋" w:eastAsia="仿宋" w:cs="Times New Roman"/>
          <w:sz w:val="24"/>
          <w:szCs w:val="24"/>
        </w:rPr>
        <w:t>14</w:t>
      </w:r>
      <w:r>
        <w:rPr>
          <w:rFonts w:hint="eastAsia" w:ascii="仿宋" w:hAnsi="仿宋" w:eastAsia="仿宋" w:cs="Times New Roman"/>
          <w:sz w:val="24"/>
          <w:szCs w:val="24"/>
        </w:rPr>
        <w:t>分；应急处理实施方案较完善、细致，操作性较强的得</w:t>
      </w:r>
      <w:r>
        <w:rPr>
          <w:rFonts w:hint="eastAsia" w:ascii="仿宋" w:hAnsi="仿宋" w:eastAsia="仿宋" w:cs="Times New Roman"/>
          <w:sz w:val="24"/>
          <w:szCs w:val="24"/>
          <w:lang w:val="en-US" w:eastAsia="zh-CN"/>
        </w:rPr>
        <w:t>10</w:t>
      </w:r>
      <w:r>
        <w:rPr>
          <w:rFonts w:hint="eastAsia" w:ascii="仿宋" w:hAnsi="仿宋" w:eastAsia="仿宋" w:cs="Times New Roman"/>
          <w:sz w:val="24"/>
          <w:szCs w:val="24"/>
        </w:rPr>
        <w:t>分；应急处理实施方案</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w:t>
      </w:r>
      <w:r>
        <w:rPr>
          <w:rFonts w:hint="eastAsia" w:ascii="仿宋" w:hAnsi="仿宋" w:eastAsia="仿宋" w:cs="Times New Roman"/>
          <w:sz w:val="24"/>
          <w:szCs w:val="24"/>
          <w:lang w:val="en-US" w:eastAsia="zh-CN"/>
        </w:rPr>
        <w:t>有一定</w:t>
      </w:r>
      <w:r>
        <w:rPr>
          <w:rFonts w:hint="eastAsia" w:ascii="仿宋" w:hAnsi="仿宋" w:eastAsia="仿宋" w:cs="Times New Roman"/>
          <w:sz w:val="24"/>
          <w:szCs w:val="24"/>
        </w:rPr>
        <w:t>操作性的得</w:t>
      </w:r>
      <w:r>
        <w:rPr>
          <w:rFonts w:hint="eastAsia" w:ascii="仿宋" w:hAnsi="仿宋" w:eastAsia="仿宋" w:cs="Times New Roman"/>
          <w:sz w:val="24"/>
          <w:szCs w:val="24"/>
          <w:lang w:val="en-US" w:eastAsia="zh-CN"/>
        </w:rPr>
        <w:t>7</w:t>
      </w:r>
      <w:r>
        <w:rPr>
          <w:rFonts w:hint="eastAsia" w:ascii="仿宋" w:hAnsi="仿宋" w:eastAsia="仿宋" w:cs="Times New Roman"/>
          <w:sz w:val="24"/>
          <w:szCs w:val="24"/>
        </w:rPr>
        <w:t>分；应急处理实施方案内容</w:t>
      </w:r>
      <w:r>
        <w:rPr>
          <w:rFonts w:hint="eastAsia" w:ascii="仿宋" w:hAnsi="仿宋" w:eastAsia="仿宋" w:cs="Times New Roman"/>
          <w:sz w:val="24"/>
          <w:szCs w:val="24"/>
          <w:lang w:val="en-US" w:eastAsia="zh-CN"/>
        </w:rPr>
        <w:t>较少</w:t>
      </w:r>
      <w:r>
        <w:rPr>
          <w:rFonts w:hint="eastAsia" w:ascii="仿宋" w:hAnsi="仿宋" w:eastAsia="仿宋" w:cs="Times New Roman"/>
          <w:sz w:val="24"/>
          <w:szCs w:val="24"/>
        </w:rPr>
        <w:t>，操作性</w:t>
      </w:r>
      <w:r>
        <w:rPr>
          <w:rFonts w:hint="eastAsia" w:ascii="仿宋" w:hAnsi="仿宋" w:eastAsia="仿宋" w:cs="Times New Roman"/>
          <w:sz w:val="24"/>
          <w:szCs w:val="24"/>
          <w:lang w:val="en-US" w:eastAsia="zh-CN"/>
        </w:rPr>
        <w:t>较弱</w:t>
      </w:r>
      <w:r>
        <w:rPr>
          <w:rFonts w:hint="eastAsia" w:ascii="仿宋" w:hAnsi="仿宋" w:eastAsia="仿宋" w:cs="Times New Roman"/>
          <w:sz w:val="24"/>
          <w:szCs w:val="24"/>
        </w:rPr>
        <w:t>的得</w:t>
      </w:r>
      <w:r>
        <w:rPr>
          <w:rFonts w:hint="eastAsia" w:ascii="仿宋" w:hAnsi="仿宋" w:eastAsia="仿宋" w:cs="Times New Roman"/>
          <w:sz w:val="24"/>
          <w:szCs w:val="24"/>
          <w:lang w:val="en-US" w:eastAsia="zh-CN"/>
        </w:rPr>
        <w:t>4</w:t>
      </w:r>
      <w:r>
        <w:rPr>
          <w:rFonts w:hint="eastAsia" w:ascii="仿宋" w:hAnsi="仿宋" w:eastAsia="仿宋" w:cs="Times New Roman"/>
          <w:sz w:val="24"/>
          <w:szCs w:val="24"/>
        </w:rPr>
        <w:t>分；</w:t>
      </w:r>
      <w:r>
        <w:rPr>
          <w:rFonts w:hint="eastAsia" w:ascii="仿宋" w:hAnsi="仿宋" w:eastAsia="仿宋" w:cs="Times New Roman"/>
          <w:sz w:val="24"/>
          <w:szCs w:val="24"/>
          <w:lang w:eastAsia="zh-CN"/>
        </w:rPr>
        <w:t>方案较差、</w:t>
      </w:r>
      <w:r>
        <w:rPr>
          <w:rFonts w:hint="eastAsia" w:ascii="仿宋" w:hAnsi="仿宋" w:eastAsia="仿宋" w:cs="Times New Roman"/>
          <w:sz w:val="24"/>
          <w:szCs w:val="24"/>
          <w:lang w:val="en-US" w:eastAsia="zh-CN"/>
        </w:rPr>
        <w:t>缺乏实质性内容，</w:t>
      </w:r>
      <w:r>
        <w:rPr>
          <w:rFonts w:hint="eastAsia" w:ascii="仿宋" w:hAnsi="仿宋" w:eastAsia="仿宋" w:cs="Times New Roman"/>
          <w:sz w:val="24"/>
          <w:szCs w:val="24"/>
          <w:lang w:eastAsia="zh-CN"/>
        </w:rPr>
        <w:t>难以实施</w:t>
      </w:r>
      <w:r>
        <w:rPr>
          <w:rFonts w:hint="eastAsia" w:ascii="仿宋" w:hAnsi="仿宋" w:eastAsia="仿宋" w:cs="Times New Roman"/>
          <w:sz w:val="24"/>
          <w:szCs w:val="24"/>
          <w:lang w:val="en-US" w:eastAsia="zh-CN"/>
        </w:rPr>
        <w:t>操作</w:t>
      </w:r>
      <w:r>
        <w:rPr>
          <w:rFonts w:hint="eastAsia" w:ascii="仿宋" w:hAnsi="仿宋" w:eastAsia="仿宋" w:cs="Times New Roman"/>
          <w:sz w:val="24"/>
          <w:szCs w:val="24"/>
          <w:lang w:eastAsia="zh-CN"/>
        </w:rPr>
        <w:t>的，得1分；</w:t>
      </w:r>
      <w:r>
        <w:rPr>
          <w:rFonts w:hint="eastAsia" w:ascii="仿宋" w:hAnsi="仿宋" w:eastAsia="仿宋" w:cs="Times New Roman"/>
          <w:sz w:val="24"/>
          <w:szCs w:val="24"/>
        </w:rPr>
        <w:t>不提供不得分。</w:t>
      </w:r>
    </w:p>
    <w:p w14:paraId="3EF3663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（十）服务承诺和优惠措施（3分）</w:t>
      </w:r>
    </w:p>
    <w:p w14:paraId="55BEBD4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提供服务承诺和优惠措施，包括但不限于：保证抽检时无不合格项、配送时效性承诺、加急配送、免费（临超期）退换货、赔偿、质量保证承诺、给学校提供的优惠措施等。</w:t>
      </w:r>
    </w:p>
    <w:p w14:paraId="1AA517BC">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服务承诺完善详细，优惠措施合理，操作性强的得</w:t>
      </w:r>
      <w:r>
        <w:rPr>
          <w:rFonts w:ascii="仿宋" w:hAnsi="仿宋" w:eastAsia="仿宋" w:cs="Times New Roman"/>
          <w:sz w:val="24"/>
          <w:szCs w:val="24"/>
        </w:rPr>
        <w:t>3</w:t>
      </w:r>
      <w:r>
        <w:rPr>
          <w:rFonts w:hint="eastAsia" w:ascii="仿宋" w:hAnsi="仿宋" w:eastAsia="仿宋" w:cs="Times New Roman"/>
          <w:sz w:val="24"/>
          <w:szCs w:val="24"/>
        </w:rPr>
        <w:t>分；服务承诺完善较详细，优惠措施较合理，操作性较强的得2分；服务承诺</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，优惠措施</w:t>
      </w:r>
      <w:r>
        <w:rPr>
          <w:rFonts w:hint="eastAsia" w:ascii="仿宋" w:hAnsi="仿宋" w:eastAsia="仿宋" w:cs="Times New Roman"/>
          <w:sz w:val="24"/>
          <w:szCs w:val="24"/>
          <w:lang w:val="en-US" w:eastAsia="zh-CN"/>
        </w:rPr>
        <w:t>力度不强</w:t>
      </w:r>
      <w:r>
        <w:rPr>
          <w:rFonts w:hint="eastAsia" w:ascii="仿宋" w:hAnsi="仿宋" w:eastAsia="仿宋" w:cs="Times New Roman"/>
          <w:sz w:val="24"/>
          <w:szCs w:val="24"/>
        </w:rPr>
        <w:t>，操作性</w:t>
      </w:r>
      <w:r>
        <w:rPr>
          <w:rFonts w:hint="eastAsia" w:ascii="仿宋" w:hAnsi="仿宋" w:eastAsia="仿宋" w:cs="Times New Roman"/>
          <w:sz w:val="24"/>
          <w:szCs w:val="24"/>
          <w:lang w:val="en-US" w:eastAsia="zh-CN"/>
        </w:rPr>
        <w:t>较弱</w:t>
      </w:r>
      <w:r>
        <w:rPr>
          <w:rFonts w:hint="eastAsia" w:ascii="仿宋" w:hAnsi="仿宋" w:eastAsia="仿宋" w:cs="Times New Roman"/>
          <w:sz w:val="24"/>
          <w:szCs w:val="24"/>
        </w:rPr>
        <w:t>的得1分</w:t>
      </w:r>
      <w:r>
        <w:rPr>
          <w:rFonts w:hint="eastAsia" w:ascii="仿宋" w:hAnsi="仿宋" w:eastAsia="仿宋" w:cs="Times New Roman"/>
          <w:sz w:val="24"/>
          <w:szCs w:val="24"/>
          <w:lang w:eastAsia="zh-CN"/>
        </w:rPr>
        <w:t>；</w:t>
      </w:r>
      <w:r>
        <w:rPr>
          <w:rFonts w:hint="eastAsia" w:ascii="仿宋" w:hAnsi="仿宋" w:eastAsia="仿宋" w:cs="Times New Roman"/>
          <w:sz w:val="24"/>
          <w:szCs w:val="24"/>
        </w:rPr>
        <w:t>不提供不得分。</w:t>
      </w:r>
    </w:p>
    <w:p w14:paraId="6C36FECF">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47B519AD">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10BA2139">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1559D20A">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2A9A95AD">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751B7DF9">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73766DCC">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582AAF1F">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24"/>
          <w:szCs w:val="24"/>
        </w:rPr>
      </w:pPr>
    </w:p>
    <w:p w14:paraId="56BFE3D5">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30"/>
          <w:szCs w:val="30"/>
        </w:rPr>
      </w:pPr>
    </w:p>
    <w:p w14:paraId="454131B8">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27C179B7">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7D822B26">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6CCB46FC">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15127699">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4640AE2A">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51633249">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仿宋" w:hAnsi="仿宋" w:eastAsia="仿宋" w:cs="Times New Roman"/>
          <w:sz w:val="30"/>
          <w:szCs w:val="30"/>
        </w:rPr>
      </w:pPr>
    </w:p>
    <w:p w14:paraId="7A96681D">
      <w:pPr>
        <w:keepNext w:val="0"/>
        <w:keepLines w:val="0"/>
        <w:pageBreakBefore w:val="0"/>
        <w:widowControl w:val="0"/>
        <w:kinsoku/>
        <w:wordWrap/>
        <w:overflowPunct/>
        <w:topLinePunct w:val="0"/>
        <w:autoSpaceDE/>
        <w:autoSpaceDN/>
        <w:bidi w:val="0"/>
        <w:adjustRightInd/>
        <w:spacing w:line="500" w:lineRule="exact"/>
        <w:textAlignment w:val="auto"/>
        <w:rPr>
          <w:rFonts w:ascii="仿宋" w:hAnsi="仿宋" w:eastAsia="仿宋" w:cs="Times New Roman"/>
          <w:sz w:val="30"/>
          <w:szCs w:val="30"/>
        </w:rPr>
      </w:pPr>
    </w:p>
    <w:p w14:paraId="16B6EA52">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方正小标宋_GBK" w:hAnsi="等线" w:eastAsia="方正小标宋_GBK" w:cs="Times New Roman"/>
          <w:sz w:val="36"/>
          <w:szCs w:val="36"/>
        </w:rPr>
      </w:pPr>
      <w:r>
        <w:rPr>
          <w:rFonts w:hint="eastAsia" w:ascii="方正小标宋_GBK" w:hAnsi="等线" w:eastAsia="方正小标宋_GBK" w:cs="Times New Roman"/>
          <w:sz w:val="36"/>
          <w:szCs w:val="36"/>
        </w:rPr>
        <w:t>2025年苏州大学食堂伙食物资供应商评分标准</w:t>
      </w:r>
    </w:p>
    <w:p w14:paraId="024815D3">
      <w:pPr>
        <w:keepNext w:val="0"/>
        <w:keepLines w:val="0"/>
        <w:pageBreakBefore w:val="0"/>
        <w:widowControl w:val="0"/>
        <w:kinsoku/>
        <w:wordWrap/>
        <w:overflowPunct/>
        <w:topLinePunct w:val="0"/>
        <w:autoSpaceDE/>
        <w:autoSpaceDN/>
        <w:bidi w:val="0"/>
        <w:adjustRightInd/>
        <w:spacing w:line="500" w:lineRule="exact"/>
        <w:jc w:val="center"/>
        <w:textAlignment w:val="auto"/>
        <w:rPr>
          <w:rFonts w:ascii="黑体" w:hAnsi="黑体" w:eastAsia="黑体" w:cs="Times New Roman"/>
          <w:sz w:val="28"/>
          <w:szCs w:val="28"/>
        </w:rPr>
      </w:pPr>
      <w:r>
        <w:rPr>
          <w:rFonts w:hint="eastAsia" w:ascii="黑体" w:hAnsi="黑体" w:eastAsia="黑体" w:cs="Times New Roman"/>
          <w:sz w:val="28"/>
          <w:szCs w:val="28"/>
        </w:rPr>
        <w:t>（适用于标段</w:t>
      </w:r>
      <w:r>
        <w:rPr>
          <w:rFonts w:ascii="黑体" w:hAnsi="黑体" w:eastAsia="黑体" w:cs="Times New Roman"/>
          <w:sz w:val="28"/>
          <w:szCs w:val="28"/>
        </w:rPr>
        <w:t>7</w:t>
      </w:r>
      <w:r>
        <w:rPr>
          <w:rFonts w:hint="eastAsia" w:ascii="黑体" w:hAnsi="黑体" w:eastAsia="黑体" w:cs="Times New Roman"/>
          <w:sz w:val="28"/>
          <w:szCs w:val="28"/>
        </w:rPr>
        <w:t>：一次性用品）</w:t>
      </w:r>
    </w:p>
    <w:p w14:paraId="5E3BFEEE">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jc w:val="left"/>
        <w:textAlignment w:val="auto"/>
        <w:rPr>
          <w:rFonts w:ascii="仿宋" w:hAnsi="仿宋" w:eastAsia="仿宋" w:cs="Times New Roman"/>
          <w:bCs/>
          <w:color w:val="000000"/>
          <w:kern w:val="0"/>
          <w:sz w:val="24"/>
          <w:szCs w:val="24"/>
        </w:rPr>
      </w:pPr>
      <w:r>
        <w:rPr>
          <w:rFonts w:hint="eastAsia" w:ascii="仿宋" w:hAnsi="仿宋" w:eastAsia="仿宋" w:cs="Times New Roman"/>
          <w:bCs/>
          <w:color w:val="000000"/>
          <w:kern w:val="0"/>
          <w:sz w:val="24"/>
          <w:szCs w:val="24"/>
        </w:rPr>
        <w:t>本次招标采用综合评分法，总分为</w:t>
      </w:r>
      <w:r>
        <w:rPr>
          <w:rFonts w:ascii="仿宋" w:hAnsi="仿宋" w:eastAsia="仿宋" w:cs="Times New Roman"/>
          <w:bCs/>
          <w:color w:val="000000"/>
          <w:kern w:val="0"/>
          <w:sz w:val="24"/>
          <w:szCs w:val="24"/>
        </w:rPr>
        <w:t>100</w:t>
      </w:r>
      <w:r>
        <w:rPr>
          <w:rFonts w:hint="eastAsia" w:ascii="仿宋" w:hAnsi="仿宋" w:eastAsia="仿宋" w:cs="Times New Roman"/>
          <w:bCs/>
          <w:color w:val="000000"/>
          <w:kern w:val="0"/>
          <w:sz w:val="24"/>
          <w:szCs w:val="24"/>
        </w:rPr>
        <w:t>分，具体内容如下：</w:t>
      </w:r>
    </w:p>
    <w:p w14:paraId="3857AE5B">
      <w:pPr>
        <w:keepNext w:val="0"/>
        <w:keepLines w:val="0"/>
        <w:pageBreakBefore w:val="0"/>
        <w:widowControl w:val="0"/>
        <w:kinsoku/>
        <w:wordWrap/>
        <w:overflowPunct/>
        <w:topLinePunct w:val="0"/>
        <w:autoSpaceDE/>
        <w:autoSpaceDN/>
        <w:bidi w:val="0"/>
        <w:adjustRightInd/>
        <w:spacing w:line="500" w:lineRule="exact"/>
        <w:ind w:firstLine="240" w:firstLineChars="100"/>
        <w:jc w:val="left"/>
        <w:textAlignment w:val="auto"/>
        <w:rPr>
          <w:rFonts w:ascii="楷体_GB2312" w:hAnsi="仿宋" w:eastAsia="楷体_GB2312" w:cs="Times New Roman"/>
          <w:sz w:val="24"/>
          <w:szCs w:val="24"/>
        </w:rPr>
      </w:pPr>
      <w:r>
        <w:rPr>
          <w:rFonts w:hint="eastAsia" w:ascii="楷体_GB2312" w:hAnsi="仿宋" w:eastAsia="楷体_GB2312" w:cs="Times New Roman"/>
          <w:bCs/>
          <w:sz w:val="24"/>
          <w:szCs w:val="24"/>
        </w:rPr>
        <w:t>（一）</w:t>
      </w:r>
      <w:r>
        <w:rPr>
          <w:rFonts w:hint="eastAsia" w:ascii="楷体_GB2312" w:hAnsi="仿宋" w:eastAsia="楷体_GB2312" w:cs="Times New Roman"/>
          <w:sz w:val="24"/>
          <w:szCs w:val="24"/>
        </w:rPr>
        <w:t>价格分 （35分）</w:t>
      </w:r>
    </w:p>
    <w:p w14:paraId="16C8BBF7">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价格分采用低价优先法计算，即在所有投标单位标的物清单各项明细报价中选择最低的报价确定为该项明细报价的基准报价。</w:t>
      </w:r>
    </w:p>
    <w:p w14:paraId="2DDFC394">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.将该项明细项所有合格投标人报价与该明细项的基准报价相比较：等于基准报价的该项明细得满分，其他投标人的该项明细价格分按照下列公式计算（计算结果四舍五入保留两位小数）：</w:t>
      </w:r>
      <w:r>
        <w:rPr>
          <w:rFonts w:hint="eastAsia" w:ascii="仿宋" w:hAnsi="仿宋" w:eastAsia="仿宋" w:cs="Times New Roman"/>
          <w:b/>
          <w:bCs/>
          <w:sz w:val="24"/>
          <w:szCs w:val="24"/>
        </w:rPr>
        <w:t>明细项投标报价得分=(明细项基准报价/明细项投标报价)*35</w:t>
      </w:r>
      <w:r>
        <w:rPr>
          <w:rFonts w:ascii="仿宋" w:hAnsi="仿宋" w:eastAsia="仿宋" w:cs="Times New Roman"/>
          <w:b/>
          <w:bCs/>
          <w:sz w:val="24"/>
          <w:szCs w:val="24"/>
        </w:rPr>
        <w:t>%</w:t>
      </w:r>
      <w:r>
        <w:rPr>
          <w:rFonts w:hint="eastAsia" w:ascii="仿宋" w:hAnsi="仿宋" w:eastAsia="仿宋" w:cs="Times New Roman"/>
          <w:b/>
          <w:bCs/>
          <w:sz w:val="24"/>
          <w:szCs w:val="24"/>
        </w:rPr>
        <w:t>*</w:t>
      </w:r>
      <w:r>
        <w:rPr>
          <w:rFonts w:ascii="仿宋" w:hAnsi="仿宋" w:eastAsia="仿宋" w:cs="Times New Roman"/>
          <w:b/>
          <w:bCs/>
          <w:sz w:val="24"/>
          <w:szCs w:val="24"/>
        </w:rPr>
        <w:t>100</w:t>
      </w:r>
    </w:p>
    <w:p w14:paraId="7C5EDE3A">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sz w:val="24"/>
          <w:szCs w:val="24"/>
        </w:rPr>
      </w:pPr>
      <w:r>
        <w:rPr>
          <w:rFonts w:ascii="仿宋" w:hAnsi="仿宋" w:eastAsia="仿宋" w:cs="Times New Roman"/>
          <w:b/>
          <w:bCs/>
          <w:sz w:val="24"/>
          <w:szCs w:val="24"/>
        </w:rPr>
        <w:t>3.</w:t>
      </w:r>
      <w:r>
        <w:rPr>
          <w:rFonts w:hint="eastAsia" w:ascii="仿宋" w:hAnsi="仿宋" w:eastAsia="仿宋" w:cs="Times New Roman"/>
          <w:b/>
          <w:bCs/>
          <w:sz w:val="24"/>
          <w:szCs w:val="24"/>
          <w:lang w:val="en-US" w:eastAsia="zh-CN"/>
        </w:rPr>
        <w:t>各投标人</w:t>
      </w:r>
      <w:r>
        <w:rPr>
          <w:rFonts w:hint="eastAsia" w:ascii="仿宋" w:hAnsi="仿宋" w:eastAsia="仿宋" w:cs="Times New Roman"/>
          <w:b/>
          <w:bCs/>
          <w:sz w:val="24"/>
          <w:szCs w:val="24"/>
        </w:rPr>
        <w:t>投标报价得分＝各明细项投标报价得分汇总</w:t>
      </w:r>
      <w:r>
        <w:rPr>
          <w:rFonts w:ascii="仿宋" w:hAnsi="仿宋" w:eastAsia="仿宋" w:cs="Times New Roman"/>
          <w:b/>
          <w:bCs/>
          <w:sz w:val="24"/>
          <w:szCs w:val="24"/>
        </w:rPr>
        <w:t>/</w:t>
      </w:r>
      <w:r>
        <w:rPr>
          <w:rFonts w:hint="eastAsia" w:ascii="仿宋" w:hAnsi="仿宋" w:eastAsia="仿宋" w:cs="Times New Roman"/>
          <w:b/>
          <w:bCs/>
          <w:sz w:val="24"/>
          <w:szCs w:val="24"/>
        </w:rPr>
        <w:t>明细项目总个数</w:t>
      </w:r>
    </w:p>
    <w:p w14:paraId="261D5795">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w:t>
      </w:r>
      <w:r>
        <w:rPr>
          <w:rFonts w:ascii="仿宋" w:hAnsi="仿宋" w:eastAsia="仿宋" w:cs="Times New Roman"/>
          <w:b/>
          <w:bCs/>
          <w:color w:val="FF0000"/>
          <w:kern w:val="0"/>
          <w:sz w:val="24"/>
          <w:szCs w:val="24"/>
        </w:rPr>
        <w:t>1）</w:t>
      </w:r>
      <w:r>
        <w:rPr>
          <w:rFonts w:hint="eastAsia" w:ascii="仿宋" w:hAnsi="仿宋" w:eastAsia="仿宋" w:cs="Times New Roman"/>
          <w:b/>
          <w:bCs/>
          <w:color w:val="FF0000"/>
          <w:kern w:val="0"/>
          <w:sz w:val="24"/>
          <w:szCs w:val="24"/>
        </w:rPr>
        <w:t>开标后五分钟内，须</w:t>
      </w:r>
      <w:r>
        <w:rPr>
          <w:rFonts w:ascii="仿宋" w:hAnsi="仿宋" w:eastAsia="仿宋" w:cs="Times New Roman"/>
          <w:b/>
          <w:bCs/>
          <w:color w:val="FF0000"/>
          <w:kern w:val="0"/>
          <w:sz w:val="24"/>
          <w:szCs w:val="24"/>
        </w:rPr>
        <w:t>将</w:t>
      </w:r>
      <w:r>
        <w:rPr>
          <w:rFonts w:hint="eastAsia" w:ascii="仿宋" w:hAnsi="仿宋" w:eastAsia="仿宋" w:cs="Times New Roman"/>
          <w:b/>
          <w:bCs/>
          <w:color w:val="FF0000"/>
          <w:kern w:val="0"/>
          <w:sz w:val="24"/>
          <w:szCs w:val="24"/>
        </w:rPr>
        <w:t>投标报价表Excel版，通过电子邮件发送至xnchen</w:t>
      </w:r>
      <w:r>
        <w:rPr>
          <w:rFonts w:ascii="仿宋" w:hAnsi="仿宋" w:eastAsia="仿宋" w:cs="Times New Roman"/>
          <w:b/>
          <w:bCs/>
          <w:color w:val="FF0000"/>
          <w:kern w:val="0"/>
          <w:sz w:val="24"/>
          <w:szCs w:val="24"/>
        </w:rPr>
        <w:t>@suda.edu.cn</w:t>
      </w:r>
      <w:r>
        <w:rPr>
          <w:rFonts w:hint="eastAsia" w:ascii="仿宋" w:hAnsi="仿宋" w:eastAsia="仿宋" w:cs="Times New Roman"/>
          <w:b/>
          <w:bCs/>
          <w:color w:val="FF0000"/>
          <w:kern w:val="0"/>
          <w:sz w:val="24"/>
          <w:szCs w:val="24"/>
        </w:rPr>
        <w:t>。</w:t>
      </w:r>
    </w:p>
    <w:p w14:paraId="15D3096C">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jc w:val="left"/>
        <w:textAlignment w:val="auto"/>
        <w:rPr>
          <w:rFonts w:ascii="仿宋" w:hAnsi="仿宋" w:eastAsia="仿宋" w:cs="Times New Roman"/>
          <w:b/>
          <w:bCs/>
          <w:color w:val="FF0000"/>
          <w:kern w:val="0"/>
          <w:sz w:val="24"/>
          <w:szCs w:val="24"/>
        </w:rPr>
      </w:pPr>
      <w:r>
        <w:rPr>
          <w:rFonts w:hint="eastAsia" w:ascii="仿宋" w:hAnsi="仿宋" w:eastAsia="仿宋" w:cs="Times New Roman"/>
          <w:b/>
          <w:bCs/>
          <w:color w:val="FF0000"/>
          <w:kern w:val="0"/>
          <w:sz w:val="24"/>
          <w:szCs w:val="24"/>
        </w:rPr>
        <w:t>（2）投标报价</w:t>
      </w:r>
      <w:r>
        <w:rPr>
          <w:rFonts w:ascii="仿宋" w:hAnsi="仿宋" w:eastAsia="仿宋" w:cs="Times New Roman"/>
          <w:b/>
          <w:bCs/>
          <w:color w:val="FF0000"/>
          <w:kern w:val="0"/>
          <w:sz w:val="24"/>
          <w:szCs w:val="24"/>
        </w:rPr>
        <w:t>表</w:t>
      </w:r>
      <w:r>
        <w:rPr>
          <w:rFonts w:hint="eastAsia" w:ascii="仿宋" w:hAnsi="仿宋" w:eastAsia="仿宋" w:cs="Times New Roman"/>
          <w:b/>
          <w:bCs/>
          <w:color w:val="FF0000"/>
          <w:kern w:val="0"/>
          <w:sz w:val="24"/>
          <w:szCs w:val="24"/>
        </w:rPr>
        <w:t>不得作</w:t>
      </w:r>
      <w:r>
        <w:rPr>
          <w:rFonts w:ascii="仿宋" w:hAnsi="仿宋" w:eastAsia="仿宋" w:cs="Times New Roman"/>
          <w:b/>
          <w:bCs/>
          <w:color w:val="FF0000"/>
          <w:kern w:val="0"/>
          <w:sz w:val="24"/>
          <w:szCs w:val="24"/>
        </w:rPr>
        <w:t>任何变</w:t>
      </w:r>
      <w:r>
        <w:rPr>
          <w:rFonts w:hint="eastAsia" w:ascii="仿宋" w:hAnsi="仿宋" w:eastAsia="仿宋" w:cs="Times New Roman"/>
          <w:b/>
          <w:bCs/>
          <w:color w:val="FF0000"/>
          <w:kern w:val="0"/>
          <w:sz w:val="24"/>
          <w:szCs w:val="24"/>
        </w:rPr>
        <w:t>更，其明细内容及顺序若有调整，将视为非实质性响应。</w:t>
      </w:r>
    </w:p>
    <w:p w14:paraId="2F8078DC">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sz w:val="24"/>
          <w:szCs w:val="24"/>
        </w:rPr>
      </w:pPr>
      <w:r>
        <w:rPr>
          <w:rFonts w:hint="eastAsia" w:ascii="仿宋" w:hAnsi="仿宋" w:eastAsia="仿宋" w:cs="Times New Roman"/>
          <w:b/>
          <w:bCs/>
          <w:color w:val="FF0000"/>
          <w:kern w:val="0"/>
          <w:sz w:val="24"/>
          <w:szCs w:val="24"/>
        </w:rPr>
        <w:t>（3）投标人未按报价文件格式要求报价，或出现少报、漏报的，均按无效投标处理。</w:t>
      </w:r>
    </w:p>
    <w:p w14:paraId="5E8052A0">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sz w:val="24"/>
          <w:szCs w:val="24"/>
        </w:rPr>
      </w:pPr>
      <w:r>
        <w:rPr>
          <w:rFonts w:hint="eastAsia" w:ascii="仿宋" w:hAnsi="仿宋" w:eastAsia="仿宋" w:cs="Times New Roman"/>
          <w:b/>
          <w:bCs/>
          <w:sz w:val="24"/>
          <w:szCs w:val="24"/>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7BEEB231">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（二）企业认证证书及获奖证书（</w:t>
      </w:r>
      <w:r>
        <w:rPr>
          <w:rFonts w:ascii="楷体_GB2312" w:hAnsi="仿宋" w:eastAsia="楷体_GB2312" w:cs="Times New Roman"/>
          <w:sz w:val="24"/>
          <w:szCs w:val="24"/>
        </w:rPr>
        <w:t>5</w:t>
      </w:r>
      <w:r>
        <w:rPr>
          <w:rFonts w:hint="eastAsia" w:ascii="楷体_GB2312" w:hAnsi="仿宋" w:eastAsia="楷体_GB2312" w:cs="Times New Roman"/>
          <w:sz w:val="24"/>
          <w:szCs w:val="24"/>
        </w:rPr>
        <w:t>分）</w:t>
      </w:r>
    </w:p>
    <w:p w14:paraId="0F36FB7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kern w:val="0"/>
          <w:sz w:val="24"/>
          <w:szCs w:val="24"/>
        </w:rPr>
        <w:t>投标单位具有</w:t>
      </w:r>
      <w:r>
        <w:rPr>
          <w:rFonts w:ascii="仿宋" w:hAnsi="仿宋" w:eastAsia="仿宋" w:cs="Times New Roman"/>
          <w:kern w:val="0"/>
          <w:sz w:val="24"/>
          <w:szCs w:val="24"/>
        </w:rPr>
        <w:t>ISO9001</w:t>
      </w:r>
      <w:r>
        <w:rPr>
          <w:rFonts w:hint="eastAsia" w:ascii="仿宋" w:hAnsi="仿宋" w:eastAsia="仿宋" w:cs="Times New Roman"/>
          <w:kern w:val="0"/>
          <w:sz w:val="24"/>
          <w:szCs w:val="24"/>
        </w:rPr>
        <w:t>质量管理体系认证证书、H</w:t>
      </w:r>
      <w:r>
        <w:rPr>
          <w:rFonts w:ascii="仿宋" w:hAnsi="仿宋" w:eastAsia="仿宋" w:cs="Times New Roman"/>
          <w:kern w:val="0"/>
          <w:sz w:val="24"/>
          <w:szCs w:val="24"/>
        </w:rPr>
        <w:t>ACCP或ISO22000</w:t>
      </w:r>
      <w:r>
        <w:rPr>
          <w:rFonts w:hint="eastAsia" w:ascii="仿宋" w:hAnsi="仿宋" w:eastAsia="仿宋" w:cs="Times New Roman"/>
          <w:kern w:val="0"/>
          <w:sz w:val="24"/>
          <w:szCs w:val="24"/>
        </w:rPr>
        <w:t>食品安全管理体系认证证书、</w:t>
      </w:r>
      <w:r>
        <w:rPr>
          <w:rFonts w:ascii="仿宋" w:hAnsi="仿宋" w:eastAsia="仿宋" w:cs="Times New Roman"/>
          <w:kern w:val="0"/>
          <w:sz w:val="24"/>
          <w:szCs w:val="24"/>
        </w:rPr>
        <w:t>ISO14000</w:t>
      </w:r>
      <w:r>
        <w:rPr>
          <w:rFonts w:hint="eastAsia" w:ascii="仿宋" w:hAnsi="仿宋" w:eastAsia="仿宋" w:cs="Times New Roman"/>
          <w:kern w:val="0"/>
          <w:sz w:val="24"/>
          <w:szCs w:val="24"/>
        </w:rPr>
        <w:t>环境管理体系认证证书，每提供一项有效期内证书得1分，最高得</w:t>
      </w:r>
      <w:r>
        <w:rPr>
          <w:rFonts w:ascii="仿宋" w:hAnsi="仿宋" w:eastAsia="仿宋" w:cs="Times New Roman"/>
          <w:kern w:val="0"/>
          <w:sz w:val="24"/>
          <w:szCs w:val="24"/>
        </w:rPr>
        <w:t>3</w:t>
      </w:r>
      <w:r>
        <w:rPr>
          <w:rFonts w:hint="eastAsia" w:ascii="仿宋" w:hAnsi="仿宋" w:eastAsia="仿宋" w:cs="Times New Roman"/>
          <w:kern w:val="0"/>
          <w:sz w:val="24"/>
          <w:szCs w:val="24"/>
        </w:rPr>
        <w:t>分。</w:t>
      </w:r>
    </w:p>
    <w:p w14:paraId="4B5A9D4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2</w:t>
      </w:r>
      <w:r>
        <w:rPr>
          <w:rFonts w:ascii="仿宋" w:hAnsi="仿宋" w:eastAsia="仿宋" w:cs="Times New Roman"/>
          <w:sz w:val="24"/>
          <w:szCs w:val="24"/>
        </w:rPr>
        <w:t>.</w:t>
      </w:r>
      <w:r>
        <w:rPr>
          <w:rFonts w:hint="eastAsia" w:ascii="仿宋" w:hAnsi="仿宋" w:eastAsia="仿宋" w:cs="Times New Roman"/>
          <w:sz w:val="24"/>
          <w:szCs w:val="24"/>
        </w:rPr>
        <w:t>2021年12月以来，投标单位获得政府部门颁发的奖项。每项得1分，最高得2分。</w:t>
      </w:r>
    </w:p>
    <w:p w14:paraId="6E50E02B">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注：以上须提供证书复印件或相关证明材料，否则不得分。</w:t>
      </w:r>
    </w:p>
    <w:p w14:paraId="2FB4CBF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（三）服务业绩（1</w:t>
      </w:r>
      <w:r>
        <w:rPr>
          <w:rFonts w:ascii="楷体_GB2312" w:hAnsi="仿宋" w:eastAsia="楷体_GB2312" w:cs="Times New Roman"/>
          <w:sz w:val="24"/>
          <w:szCs w:val="24"/>
        </w:rPr>
        <w:t>4</w:t>
      </w:r>
      <w:r>
        <w:rPr>
          <w:rFonts w:hint="eastAsia" w:ascii="楷体_GB2312" w:hAnsi="仿宋" w:eastAsia="楷体_GB2312" w:cs="Times New Roman"/>
          <w:sz w:val="24"/>
          <w:szCs w:val="24"/>
        </w:rPr>
        <w:t>分）</w:t>
      </w:r>
    </w:p>
    <w:p w14:paraId="4602277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根据投标单位提供的自2021年12月以来（以合同签订时间为准）类似项目业绩进行评分。每项业绩须包括：（</w:t>
      </w:r>
      <w:r>
        <w:rPr>
          <w:rFonts w:ascii="仿宋" w:hAnsi="仿宋" w:eastAsia="仿宋" w:cs="Times New Roman"/>
          <w:sz w:val="24"/>
          <w:szCs w:val="24"/>
        </w:rPr>
        <w:t>1</w:t>
      </w:r>
      <w:r>
        <w:rPr>
          <w:rFonts w:hint="eastAsia" w:ascii="仿宋" w:hAnsi="仿宋" w:eastAsia="仿宋" w:cs="Times New Roman"/>
          <w:sz w:val="24"/>
          <w:szCs w:val="24"/>
        </w:rPr>
        <w:t>）不低于</w:t>
      </w:r>
      <w:r>
        <w:rPr>
          <w:rFonts w:ascii="仿宋" w:hAnsi="仿宋" w:eastAsia="仿宋" w:cs="Times New Roman"/>
          <w:sz w:val="24"/>
          <w:szCs w:val="24"/>
        </w:rPr>
        <w:t>6</w:t>
      </w:r>
      <w:r>
        <w:rPr>
          <w:rFonts w:hint="eastAsia" w:ascii="仿宋" w:hAnsi="仿宋" w:eastAsia="仿宋" w:cs="Times New Roman"/>
          <w:sz w:val="24"/>
          <w:szCs w:val="24"/>
        </w:rPr>
        <w:t>个月的供货合同；（</w:t>
      </w:r>
      <w:r>
        <w:rPr>
          <w:rFonts w:ascii="仿宋" w:hAnsi="仿宋" w:eastAsia="仿宋" w:cs="Times New Roman"/>
          <w:sz w:val="24"/>
          <w:szCs w:val="24"/>
        </w:rPr>
        <w:t>2</w:t>
      </w:r>
      <w:r>
        <w:rPr>
          <w:rFonts w:hint="eastAsia" w:ascii="仿宋" w:hAnsi="仿宋" w:eastAsia="仿宋" w:cs="Times New Roman"/>
          <w:sz w:val="24"/>
          <w:szCs w:val="24"/>
        </w:rPr>
        <w:t>）合同供货清单须包含所投标段的品类、全部或部分品种。每提供</w:t>
      </w:r>
      <w:r>
        <w:rPr>
          <w:rFonts w:ascii="仿宋" w:hAnsi="仿宋" w:eastAsia="仿宋" w:cs="Times New Roman"/>
          <w:sz w:val="24"/>
          <w:szCs w:val="24"/>
        </w:rPr>
        <w:t>1</w:t>
      </w:r>
      <w:r>
        <w:rPr>
          <w:rFonts w:hint="eastAsia" w:ascii="仿宋" w:hAnsi="仿宋" w:eastAsia="仿宋" w:cs="Times New Roman"/>
          <w:sz w:val="24"/>
          <w:szCs w:val="24"/>
        </w:rPr>
        <w:t>项完整业绩得</w:t>
      </w:r>
      <w:r>
        <w:rPr>
          <w:rFonts w:ascii="仿宋" w:hAnsi="仿宋" w:eastAsia="仿宋" w:cs="Times New Roman"/>
          <w:sz w:val="24"/>
          <w:szCs w:val="24"/>
        </w:rPr>
        <w:t>1</w:t>
      </w:r>
      <w:r>
        <w:rPr>
          <w:rFonts w:hint="eastAsia" w:ascii="仿宋" w:hAnsi="仿宋" w:eastAsia="仿宋" w:cs="Times New Roman"/>
          <w:sz w:val="24"/>
          <w:szCs w:val="24"/>
        </w:rPr>
        <w:t>分，最高得1</w:t>
      </w:r>
      <w:r>
        <w:rPr>
          <w:rFonts w:ascii="仿宋" w:hAnsi="仿宋" w:eastAsia="仿宋" w:cs="Times New Roman"/>
          <w:sz w:val="24"/>
          <w:szCs w:val="24"/>
        </w:rPr>
        <w:t>4</w:t>
      </w:r>
      <w:r>
        <w:rPr>
          <w:rFonts w:hint="eastAsia" w:ascii="仿宋" w:hAnsi="仿宋" w:eastAsia="仿宋" w:cs="Times New Roman"/>
          <w:sz w:val="24"/>
          <w:szCs w:val="24"/>
        </w:rPr>
        <w:t>分。</w:t>
      </w:r>
    </w:p>
    <w:p w14:paraId="5BB1AEF0">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注：须提供合同复印件，同一单位业绩不重复计分。中标后，中标单位须提供上述合同原件供学校核查。</w:t>
      </w:r>
    </w:p>
    <w:p w14:paraId="4A9126CC">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（四）仓储面积（8分）</w:t>
      </w:r>
    </w:p>
    <w:p w14:paraId="3D8A326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仓储面积低于</w:t>
      </w:r>
      <w:r>
        <w:rPr>
          <w:rFonts w:ascii="仿宋" w:hAnsi="仿宋" w:eastAsia="仿宋" w:cs="Times New Roman"/>
          <w:bCs/>
          <w:sz w:val="24"/>
          <w:szCs w:val="24"/>
        </w:rPr>
        <w:t>500</w:t>
      </w:r>
      <w:r>
        <w:rPr>
          <w:rFonts w:hint="eastAsia" w:ascii="仿宋" w:hAnsi="仿宋" w:eastAsia="仿宋" w:cs="Times New Roman"/>
          <w:bCs/>
          <w:sz w:val="24"/>
          <w:szCs w:val="24"/>
        </w:rPr>
        <w:t>平方米不得分，每满</w:t>
      </w:r>
      <w:r>
        <w:rPr>
          <w:rFonts w:ascii="仿宋" w:hAnsi="仿宋" w:eastAsia="仿宋" w:cs="Times New Roman"/>
          <w:bCs/>
          <w:sz w:val="24"/>
          <w:szCs w:val="24"/>
        </w:rPr>
        <w:t>500</w:t>
      </w:r>
      <w:r>
        <w:rPr>
          <w:rFonts w:hint="eastAsia" w:ascii="仿宋" w:hAnsi="仿宋" w:eastAsia="仿宋" w:cs="Times New Roman"/>
          <w:bCs/>
          <w:sz w:val="24"/>
          <w:szCs w:val="24"/>
        </w:rPr>
        <w:t>平方米加</w:t>
      </w:r>
      <w:r>
        <w:rPr>
          <w:rFonts w:ascii="仿宋" w:hAnsi="仿宋" w:eastAsia="仿宋" w:cs="Times New Roman"/>
          <w:bCs/>
          <w:sz w:val="24"/>
          <w:szCs w:val="24"/>
        </w:rPr>
        <w:t>2</w:t>
      </w:r>
      <w:r>
        <w:rPr>
          <w:rFonts w:hint="eastAsia" w:ascii="仿宋" w:hAnsi="仿宋" w:eastAsia="仿宋" w:cs="Times New Roman"/>
          <w:bCs/>
          <w:sz w:val="24"/>
          <w:szCs w:val="24"/>
        </w:rPr>
        <w:t>分，</w:t>
      </w:r>
      <w:r>
        <w:rPr>
          <w:rFonts w:ascii="仿宋" w:hAnsi="仿宋" w:eastAsia="仿宋" w:cs="Times New Roman"/>
          <w:bCs/>
          <w:sz w:val="24"/>
          <w:szCs w:val="24"/>
        </w:rPr>
        <w:t>最高加8</w:t>
      </w:r>
      <w:r>
        <w:rPr>
          <w:rFonts w:hint="eastAsia" w:ascii="仿宋" w:hAnsi="仿宋" w:eastAsia="仿宋" w:cs="Times New Roman"/>
          <w:bCs/>
          <w:sz w:val="24"/>
          <w:szCs w:val="24"/>
        </w:rPr>
        <w:t>分。</w:t>
      </w:r>
    </w:p>
    <w:p w14:paraId="2DA9ACB6">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bCs/>
          <w:sz w:val="24"/>
          <w:szCs w:val="24"/>
        </w:rPr>
      </w:pPr>
      <w:r>
        <w:rPr>
          <w:rFonts w:hint="eastAsia" w:ascii="仿宋" w:hAnsi="仿宋" w:eastAsia="仿宋" w:cs="Times New Roman"/>
          <w:b/>
          <w:bCs/>
          <w:sz w:val="24"/>
          <w:szCs w:val="24"/>
        </w:rPr>
        <w:t>注：须提供仓库的相关图片。自有仓库的须提供相关产权证明复印件，租赁仓库的须提供租赁协议及出租方相关产权证明复印件。</w:t>
      </w:r>
      <w:bookmarkStart w:id="1" w:name="_Hlk185674681"/>
      <w:r>
        <w:rPr>
          <w:rFonts w:hint="eastAsia" w:ascii="仿宋" w:hAnsi="仿宋" w:eastAsia="仿宋" w:cs="Times New Roman"/>
          <w:b/>
          <w:bCs/>
          <w:sz w:val="24"/>
          <w:szCs w:val="24"/>
        </w:rPr>
        <w:t>上述资料不提供或提供不全的，</w:t>
      </w:r>
      <w:bookmarkEnd w:id="1"/>
      <w:r>
        <w:rPr>
          <w:rFonts w:hint="eastAsia" w:ascii="仿宋" w:hAnsi="仿宋" w:eastAsia="仿宋" w:cs="Times New Roman"/>
          <w:b/>
          <w:bCs/>
          <w:sz w:val="24"/>
          <w:szCs w:val="24"/>
        </w:rPr>
        <w:t>不得分。中标后，中标单位提供上述租赁协议原件供学校核查。</w:t>
      </w:r>
    </w:p>
    <w:p w14:paraId="615390DD">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（五）运输能力（4分）</w:t>
      </w:r>
    </w:p>
    <w:p w14:paraId="5DE96AD1">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根据投标单位提供的运输车辆情况进行评分，少于4辆不得分，每满4辆加</w:t>
      </w:r>
      <w:r>
        <w:rPr>
          <w:rFonts w:ascii="仿宋" w:hAnsi="仿宋" w:eastAsia="仿宋" w:cs="Times New Roman"/>
          <w:sz w:val="24"/>
          <w:szCs w:val="24"/>
        </w:rPr>
        <w:t>2</w:t>
      </w:r>
      <w:r>
        <w:rPr>
          <w:rFonts w:hint="eastAsia" w:ascii="仿宋" w:hAnsi="仿宋" w:eastAsia="仿宋" w:cs="Times New Roman"/>
          <w:sz w:val="24"/>
          <w:szCs w:val="24"/>
        </w:rPr>
        <w:t>分，最高得4分。</w:t>
      </w:r>
    </w:p>
    <w:p w14:paraId="5EB3A96B">
      <w:pPr>
        <w:keepNext w:val="0"/>
        <w:keepLines w:val="0"/>
        <w:pageBreakBefore w:val="0"/>
        <w:widowControl w:val="0"/>
        <w:kinsoku/>
        <w:wordWrap/>
        <w:overflowPunct/>
        <w:topLinePunct w:val="0"/>
        <w:autoSpaceDE/>
        <w:autoSpaceDN/>
        <w:bidi w:val="0"/>
        <w:adjustRightInd/>
        <w:spacing w:line="500" w:lineRule="exact"/>
        <w:ind w:firstLine="482" w:firstLineChars="200"/>
        <w:jc w:val="left"/>
        <w:textAlignment w:val="auto"/>
        <w:rPr>
          <w:rFonts w:ascii="仿宋" w:hAnsi="仿宋" w:eastAsia="仿宋" w:cs="Times New Roman"/>
          <w:b/>
          <w:bCs/>
          <w:sz w:val="24"/>
          <w:szCs w:val="24"/>
        </w:rPr>
      </w:pPr>
      <w:r>
        <w:rPr>
          <w:rFonts w:hint="eastAsia" w:ascii="仿宋" w:hAnsi="仿宋" w:eastAsia="仿宋" w:cs="Times New Roman"/>
          <w:b/>
          <w:bCs/>
          <w:sz w:val="24"/>
          <w:szCs w:val="24"/>
        </w:rPr>
        <w:t>注：自有运输车辆须提供运输车辆的机动车行驶证复印件；租赁的须提供租赁协议及运输车辆的机动车行驶证复印件。上述资料不提供或提供不全的，不得分。</w:t>
      </w:r>
    </w:p>
    <w:p w14:paraId="2D775161">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w:t>
      </w:r>
      <w:r>
        <w:rPr>
          <w:rFonts w:hint="eastAsia" w:ascii="楷体_GB2312" w:hAnsi="仿宋" w:eastAsia="楷体_GB2312" w:cs="Times New Roman"/>
          <w:sz w:val="24"/>
          <w:szCs w:val="24"/>
          <w:lang w:val="en-US" w:eastAsia="zh-CN"/>
        </w:rPr>
        <w:t>六</w:t>
      </w:r>
      <w:r>
        <w:rPr>
          <w:rFonts w:hint="eastAsia" w:ascii="楷体_GB2312" w:hAnsi="仿宋" w:eastAsia="楷体_GB2312" w:cs="Times New Roman"/>
          <w:sz w:val="24"/>
          <w:szCs w:val="24"/>
        </w:rPr>
        <w:t>）产品质量控制措施（</w:t>
      </w:r>
      <w:r>
        <w:rPr>
          <w:rFonts w:ascii="楷体_GB2312" w:hAnsi="仿宋" w:eastAsia="楷体_GB2312" w:cs="Times New Roman"/>
          <w:sz w:val="24"/>
          <w:szCs w:val="24"/>
        </w:rPr>
        <w:t>14</w:t>
      </w:r>
      <w:r>
        <w:rPr>
          <w:rFonts w:hint="eastAsia" w:ascii="楷体_GB2312" w:hAnsi="仿宋" w:eastAsia="楷体_GB2312" w:cs="Times New Roman"/>
          <w:sz w:val="24"/>
          <w:szCs w:val="24"/>
        </w:rPr>
        <w:t>分）</w:t>
      </w:r>
    </w:p>
    <w:p w14:paraId="38B294A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hint="eastAsia" w:ascii="仿宋" w:hAnsi="仿宋" w:eastAsia="仿宋" w:cs="Times New Roman"/>
          <w:bCs/>
          <w:sz w:val="24"/>
          <w:szCs w:val="24"/>
        </w:rPr>
        <w:t>有完善的管理方案和措施（含产品</w:t>
      </w:r>
      <w:r>
        <w:rPr>
          <w:rFonts w:hint="eastAsia" w:ascii="仿宋" w:hAnsi="仿宋" w:eastAsia="仿宋" w:cs="Times New Roman"/>
          <w:sz w:val="24"/>
          <w:szCs w:val="24"/>
        </w:rPr>
        <w:t>存储环节</w:t>
      </w:r>
      <w:r>
        <w:rPr>
          <w:rFonts w:hint="eastAsia" w:ascii="仿宋" w:hAnsi="仿宋" w:eastAsia="仿宋" w:cs="Times New Roman"/>
          <w:bCs/>
          <w:sz w:val="24"/>
          <w:szCs w:val="24"/>
        </w:rPr>
        <w:t>控制措施</w:t>
      </w:r>
      <w:r>
        <w:rPr>
          <w:rFonts w:hint="eastAsia" w:ascii="仿宋" w:hAnsi="仿宋" w:eastAsia="仿宋" w:cs="Times New Roman"/>
          <w:sz w:val="24"/>
          <w:szCs w:val="24"/>
        </w:rPr>
        <w:t>和产品运输环节</w:t>
      </w:r>
      <w:r>
        <w:rPr>
          <w:rFonts w:hint="eastAsia" w:ascii="仿宋" w:hAnsi="仿宋" w:eastAsia="仿宋" w:cs="Times New Roman"/>
          <w:bCs/>
          <w:sz w:val="24"/>
          <w:szCs w:val="24"/>
        </w:rPr>
        <w:t>控制措施）。管理方案完善详细，措施合理，操作性强的得1</w:t>
      </w:r>
      <w:r>
        <w:rPr>
          <w:rFonts w:ascii="仿宋" w:hAnsi="仿宋" w:eastAsia="仿宋" w:cs="Times New Roman"/>
          <w:bCs/>
          <w:sz w:val="24"/>
          <w:szCs w:val="24"/>
        </w:rPr>
        <w:t>4</w:t>
      </w:r>
      <w:r>
        <w:rPr>
          <w:rFonts w:hint="eastAsia" w:ascii="仿宋" w:hAnsi="仿宋" w:eastAsia="仿宋" w:cs="Times New Roman"/>
          <w:bCs/>
          <w:sz w:val="24"/>
          <w:szCs w:val="24"/>
        </w:rPr>
        <w:t>分；管理方案完善较详细，措施较合理，操作性较强的得</w:t>
      </w:r>
      <w:r>
        <w:rPr>
          <w:rFonts w:hint="eastAsia" w:ascii="仿宋" w:hAnsi="仿宋" w:eastAsia="仿宋" w:cs="Times New Roman"/>
          <w:bCs/>
          <w:sz w:val="24"/>
          <w:szCs w:val="24"/>
          <w:lang w:val="en-US" w:eastAsia="zh-CN"/>
        </w:rPr>
        <w:t>10</w:t>
      </w:r>
      <w:r>
        <w:rPr>
          <w:rFonts w:hint="eastAsia" w:ascii="仿宋" w:hAnsi="仿宋" w:eastAsia="仿宋" w:cs="Times New Roman"/>
          <w:bCs/>
          <w:sz w:val="24"/>
          <w:szCs w:val="24"/>
        </w:rPr>
        <w:t>分；管理方案简单，措施</w:t>
      </w:r>
      <w:r>
        <w:rPr>
          <w:rFonts w:hint="eastAsia" w:ascii="仿宋" w:hAnsi="仿宋" w:eastAsia="仿宋" w:cs="Times New Roman"/>
          <w:bCs/>
          <w:sz w:val="24"/>
          <w:szCs w:val="24"/>
          <w:lang w:val="en-US" w:eastAsia="zh-CN"/>
        </w:rPr>
        <w:t>部分合理</w:t>
      </w:r>
      <w:r>
        <w:rPr>
          <w:rFonts w:hint="eastAsia" w:ascii="仿宋" w:hAnsi="仿宋" w:eastAsia="仿宋" w:cs="Times New Roman"/>
          <w:bCs/>
          <w:sz w:val="24"/>
          <w:szCs w:val="24"/>
        </w:rPr>
        <w:t>，</w:t>
      </w:r>
      <w:r>
        <w:rPr>
          <w:rFonts w:hint="eastAsia" w:ascii="仿宋" w:hAnsi="仿宋" w:eastAsia="仿宋" w:cs="Times New Roman"/>
          <w:bCs/>
          <w:sz w:val="24"/>
          <w:szCs w:val="24"/>
          <w:lang w:val="en-US" w:eastAsia="zh-CN"/>
        </w:rPr>
        <w:t>有一定</w:t>
      </w:r>
      <w:r>
        <w:rPr>
          <w:rFonts w:hint="eastAsia" w:ascii="仿宋" w:hAnsi="仿宋" w:eastAsia="仿宋" w:cs="Times New Roman"/>
          <w:bCs/>
          <w:sz w:val="24"/>
          <w:szCs w:val="24"/>
        </w:rPr>
        <w:t>操作性的得</w:t>
      </w:r>
      <w:r>
        <w:rPr>
          <w:rFonts w:hint="eastAsia" w:ascii="仿宋" w:hAnsi="仿宋" w:eastAsia="仿宋" w:cs="Times New Roman"/>
          <w:bCs/>
          <w:sz w:val="24"/>
          <w:szCs w:val="24"/>
          <w:lang w:val="en-US" w:eastAsia="zh-CN"/>
        </w:rPr>
        <w:t>7</w:t>
      </w:r>
      <w:r>
        <w:rPr>
          <w:rFonts w:hint="eastAsia" w:ascii="仿宋" w:hAnsi="仿宋" w:eastAsia="仿宋" w:cs="Times New Roman"/>
          <w:bCs/>
          <w:sz w:val="24"/>
          <w:szCs w:val="24"/>
        </w:rPr>
        <w:t>分；管理方案内容</w:t>
      </w:r>
      <w:r>
        <w:rPr>
          <w:rFonts w:hint="eastAsia" w:ascii="仿宋" w:hAnsi="仿宋" w:eastAsia="仿宋" w:cs="Times New Roman"/>
          <w:bCs/>
          <w:sz w:val="24"/>
          <w:szCs w:val="24"/>
          <w:lang w:val="en-US" w:eastAsia="zh-CN"/>
        </w:rPr>
        <w:t>较少</w:t>
      </w:r>
      <w:r>
        <w:rPr>
          <w:rFonts w:hint="eastAsia" w:ascii="仿宋" w:hAnsi="仿宋" w:eastAsia="仿宋" w:cs="Times New Roman"/>
          <w:bCs/>
          <w:sz w:val="24"/>
          <w:szCs w:val="24"/>
        </w:rPr>
        <w:t>，措施</w:t>
      </w:r>
      <w:r>
        <w:rPr>
          <w:rFonts w:hint="default" w:ascii="仿宋" w:hAnsi="仿宋" w:eastAsia="仿宋" w:cs="Times New Roman"/>
          <w:bCs/>
          <w:sz w:val="24"/>
          <w:szCs w:val="24"/>
          <w:lang w:val="en-US"/>
        </w:rPr>
        <w:t>不</w:t>
      </w:r>
      <w:r>
        <w:rPr>
          <w:rFonts w:hint="eastAsia" w:ascii="仿宋" w:hAnsi="仿宋" w:eastAsia="仿宋" w:cs="Times New Roman"/>
          <w:bCs/>
          <w:sz w:val="24"/>
          <w:szCs w:val="24"/>
          <w:lang w:val="en-US" w:eastAsia="zh-CN"/>
        </w:rPr>
        <w:t>清晰</w:t>
      </w:r>
      <w:r>
        <w:rPr>
          <w:rFonts w:hint="eastAsia" w:ascii="仿宋" w:hAnsi="仿宋" w:eastAsia="仿宋" w:cs="Times New Roman"/>
          <w:bCs/>
          <w:sz w:val="24"/>
          <w:szCs w:val="24"/>
        </w:rPr>
        <w:t>，操作性</w:t>
      </w:r>
      <w:r>
        <w:rPr>
          <w:rFonts w:hint="eastAsia" w:ascii="仿宋" w:hAnsi="仿宋" w:eastAsia="仿宋" w:cs="Times New Roman"/>
          <w:bCs/>
          <w:sz w:val="24"/>
          <w:szCs w:val="24"/>
          <w:lang w:val="en-US" w:eastAsia="zh-CN"/>
        </w:rPr>
        <w:t>较弱</w:t>
      </w:r>
      <w:r>
        <w:rPr>
          <w:rFonts w:hint="eastAsia" w:ascii="仿宋" w:hAnsi="仿宋" w:eastAsia="仿宋" w:cs="Times New Roman"/>
          <w:bCs/>
          <w:sz w:val="24"/>
          <w:szCs w:val="24"/>
        </w:rPr>
        <w:t>的得</w:t>
      </w:r>
      <w:r>
        <w:rPr>
          <w:rFonts w:hint="eastAsia" w:ascii="仿宋" w:hAnsi="仿宋" w:eastAsia="仿宋" w:cs="Times New Roman"/>
          <w:bCs/>
          <w:sz w:val="24"/>
          <w:szCs w:val="24"/>
          <w:lang w:val="en-US" w:eastAsia="zh-CN"/>
        </w:rPr>
        <w:t>4</w:t>
      </w:r>
      <w:r>
        <w:rPr>
          <w:rFonts w:hint="eastAsia" w:ascii="仿宋" w:hAnsi="仿宋" w:eastAsia="仿宋" w:cs="Times New Roman"/>
          <w:bCs/>
          <w:sz w:val="24"/>
          <w:szCs w:val="24"/>
        </w:rPr>
        <w:t>分；方案空洞、缺乏实质性内容</w:t>
      </w:r>
      <w:r>
        <w:rPr>
          <w:rFonts w:hint="eastAsia" w:ascii="仿宋" w:hAnsi="仿宋" w:eastAsia="仿宋" w:cs="Times New Roman"/>
          <w:bCs/>
          <w:sz w:val="24"/>
          <w:szCs w:val="24"/>
          <w:lang w:eastAsia="zh-CN"/>
        </w:rPr>
        <w:t>，</w:t>
      </w:r>
      <w:r>
        <w:rPr>
          <w:rFonts w:hint="eastAsia" w:ascii="仿宋" w:hAnsi="仿宋" w:eastAsia="仿宋" w:cs="Times New Roman"/>
          <w:bCs/>
          <w:sz w:val="24"/>
          <w:szCs w:val="24"/>
          <w:lang w:val="en-US" w:eastAsia="zh-CN"/>
        </w:rPr>
        <w:t>措施</w:t>
      </w:r>
      <w:r>
        <w:rPr>
          <w:rFonts w:hint="eastAsia" w:ascii="仿宋" w:hAnsi="仿宋" w:eastAsia="仿宋" w:cs="Times New Roman"/>
          <w:bCs/>
          <w:sz w:val="24"/>
          <w:szCs w:val="24"/>
        </w:rPr>
        <w:t>差的</w:t>
      </w:r>
      <w:r>
        <w:rPr>
          <w:rFonts w:hint="eastAsia" w:ascii="仿宋" w:hAnsi="仿宋" w:eastAsia="仿宋" w:cs="Times New Roman"/>
          <w:bCs/>
          <w:sz w:val="24"/>
          <w:szCs w:val="24"/>
          <w:lang w:val="en-US" w:eastAsia="zh-CN"/>
        </w:rPr>
        <w:t>得1分；</w:t>
      </w:r>
      <w:r>
        <w:rPr>
          <w:rFonts w:hint="eastAsia" w:ascii="仿宋" w:hAnsi="仿宋" w:eastAsia="仿宋" w:cs="Times New Roman"/>
          <w:bCs/>
          <w:sz w:val="24"/>
          <w:szCs w:val="24"/>
        </w:rPr>
        <w:t xml:space="preserve">不提供不得分。 </w:t>
      </w:r>
    </w:p>
    <w:p w14:paraId="35FE3C50">
      <w:pPr>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仿宋" w:hAnsi="仿宋" w:eastAsia="仿宋" w:cs="Times New Roman"/>
          <w:b/>
          <w:sz w:val="24"/>
          <w:szCs w:val="24"/>
        </w:rPr>
      </w:pPr>
      <w:r>
        <w:rPr>
          <w:rFonts w:hint="eastAsia" w:ascii="仿宋" w:hAnsi="仿宋" w:eastAsia="仿宋" w:cs="Times New Roman"/>
          <w:b/>
          <w:sz w:val="24"/>
          <w:szCs w:val="24"/>
        </w:rPr>
        <w:t>注：以上管理方案和措施需提供操作规范、检测设备场所等相关图片的证明材料。</w:t>
      </w:r>
    </w:p>
    <w:p w14:paraId="755C9AE2">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Cs/>
          <w:sz w:val="24"/>
          <w:szCs w:val="24"/>
        </w:rPr>
      </w:pPr>
      <w:r>
        <w:rPr>
          <w:rFonts w:hint="eastAsia" w:ascii="楷体_GB2312" w:hAnsi="仿宋" w:eastAsia="楷体_GB2312" w:cs="Times New Roman"/>
          <w:bCs/>
          <w:sz w:val="24"/>
          <w:szCs w:val="24"/>
        </w:rPr>
        <w:t>（</w:t>
      </w:r>
      <w:r>
        <w:rPr>
          <w:rFonts w:hint="eastAsia" w:ascii="楷体_GB2312" w:hAnsi="仿宋" w:eastAsia="楷体_GB2312" w:cs="Times New Roman"/>
          <w:bCs/>
          <w:sz w:val="24"/>
          <w:szCs w:val="24"/>
          <w:lang w:val="en-US" w:eastAsia="zh-CN"/>
        </w:rPr>
        <w:t>七</w:t>
      </w:r>
      <w:r>
        <w:rPr>
          <w:rFonts w:hint="eastAsia" w:ascii="楷体_GB2312" w:hAnsi="仿宋" w:eastAsia="楷体_GB2312" w:cs="Times New Roman"/>
          <w:bCs/>
          <w:sz w:val="24"/>
          <w:szCs w:val="24"/>
        </w:rPr>
        <w:t>）服务团队配备（3分）</w:t>
      </w:r>
    </w:p>
    <w:p w14:paraId="7CAEB76D">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1.</w:t>
      </w:r>
      <w:r>
        <w:rPr>
          <w:rFonts w:hint="eastAsia" w:ascii="仿宋" w:hAnsi="仿宋" w:eastAsia="仿宋" w:cs="Times New Roman"/>
          <w:bCs/>
          <w:sz w:val="24"/>
          <w:szCs w:val="24"/>
        </w:rPr>
        <w:t>根据投标单位为所投标段配备的项目负责人情况</w:t>
      </w:r>
      <w:r>
        <w:rPr>
          <w:rFonts w:ascii="仿宋" w:hAnsi="仿宋" w:eastAsia="仿宋" w:cs="Times New Roman"/>
          <w:bCs/>
          <w:sz w:val="24"/>
          <w:szCs w:val="24"/>
        </w:rPr>
        <w:t>进行</w:t>
      </w:r>
      <w:r>
        <w:rPr>
          <w:rFonts w:hint="eastAsia" w:ascii="仿宋" w:hAnsi="仿宋" w:eastAsia="仿宋" w:cs="Times New Roman"/>
          <w:bCs/>
          <w:sz w:val="24"/>
          <w:szCs w:val="24"/>
        </w:rPr>
        <w:t>评分（</w:t>
      </w:r>
      <w:r>
        <w:rPr>
          <w:rFonts w:ascii="仿宋" w:hAnsi="仿宋" w:eastAsia="仿宋" w:cs="Times New Roman"/>
          <w:bCs/>
          <w:sz w:val="24"/>
          <w:szCs w:val="24"/>
        </w:rPr>
        <w:t>2分）</w:t>
      </w:r>
      <w:r>
        <w:rPr>
          <w:rFonts w:hint="eastAsia" w:ascii="仿宋" w:hAnsi="仿宋" w:eastAsia="仿宋" w:cs="Times New Roman"/>
          <w:bCs/>
          <w:sz w:val="24"/>
          <w:szCs w:val="24"/>
        </w:rPr>
        <w:t>。项目</w:t>
      </w:r>
      <w:r>
        <w:rPr>
          <w:rFonts w:ascii="仿宋" w:hAnsi="仿宋" w:eastAsia="仿宋" w:cs="Times New Roman"/>
          <w:bCs/>
          <w:sz w:val="24"/>
          <w:szCs w:val="24"/>
        </w:rPr>
        <w:t>负责人</w:t>
      </w:r>
      <w:r>
        <w:rPr>
          <w:rFonts w:hint="eastAsia" w:ascii="仿宋" w:hAnsi="仿宋" w:eastAsia="仿宋" w:cs="Times New Roman"/>
          <w:bCs/>
          <w:sz w:val="24"/>
          <w:szCs w:val="24"/>
        </w:rPr>
        <w:t>具有本科及以上学历的，得</w:t>
      </w:r>
      <w:r>
        <w:rPr>
          <w:rFonts w:ascii="仿宋" w:hAnsi="仿宋" w:eastAsia="仿宋" w:cs="Times New Roman"/>
          <w:bCs/>
          <w:sz w:val="24"/>
          <w:szCs w:val="24"/>
        </w:rPr>
        <w:t>1</w:t>
      </w:r>
      <w:r>
        <w:rPr>
          <w:rFonts w:hint="eastAsia" w:ascii="仿宋" w:hAnsi="仿宋" w:eastAsia="仿宋" w:cs="Times New Roman"/>
          <w:bCs/>
          <w:sz w:val="24"/>
          <w:szCs w:val="24"/>
        </w:rPr>
        <w:t>分；具有</w:t>
      </w:r>
      <w:r>
        <w:rPr>
          <w:rFonts w:ascii="仿宋" w:hAnsi="仿宋" w:eastAsia="仿宋" w:cs="Times New Roman"/>
          <w:bCs/>
          <w:sz w:val="24"/>
          <w:szCs w:val="24"/>
        </w:rPr>
        <w:t>3</w:t>
      </w:r>
      <w:r>
        <w:rPr>
          <w:rFonts w:hint="eastAsia" w:ascii="仿宋" w:hAnsi="仿宋" w:eastAsia="仿宋" w:cs="Times New Roman"/>
          <w:bCs/>
          <w:sz w:val="24"/>
          <w:szCs w:val="24"/>
        </w:rPr>
        <w:t>年及以上类似项目经历的，得</w:t>
      </w:r>
      <w:r>
        <w:rPr>
          <w:rFonts w:ascii="仿宋" w:hAnsi="仿宋" w:eastAsia="仿宋" w:cs="Times New Roman"/>
          <w:bCs/>
          <w:sz w:val="24"/>
          <w:szCs w:val="24"/>
        </w:rPr>
        <w:t>1</w:t>
      </w:r>
      <w:r>
        <w:rPr>
          <w:rFonts w:hint="eastAsia" w:ascii="仿宋" w:hAnsi="仿宋" w:eastAsia="仿宋" w:cs="Times New Roman"/>
          <w:bCs/>
          <w:sz w:val="24"/>
          <w:szCs w:val="24"/>
        </w:rPr>
        <w:t>分。</w:t>
      </w:r>
    </w:p>
    <w:p w14:paraId="55BFBD05">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bCs/>
          <w:sz w:val="24"/>
          <w:szCs w:val="24"/>
        </w:rPr>
      </w:pPr>
      <w:r>
        <w:rPr>
          <w:rFonts w:ascii="仿宋" w:hAnsi="仿宋" w:eastAsia="仿宋" w:cs="Times New Roman"/>
          <w:bCs/>
          <w:sz w:val="24"/>
          <w:szCs w:val="24"/>
        </w:rPr>
        <w:t>2.</w:t>
      </w:r>
      <w:r>
        <w:rPr>
          <w:rFonts w:hint="eastAsia" w:ascii="仿宋" w:hAnsi="仿宋" w:eastAsia="仿宋" w:cs="Times New Roman"/>
          <w:bCs/>
          <w:sz w:val="24"/>
          <w:szCs w:val="24"/>
        </w:rPr>
        <w:t>除项目负责人外，为项目配备</w:t>
      </w:r>
      <w:r>
        <w:rPr>
          <w:rFonts w:ascii="仿宋" w:hAnsi="仿宋" w:eastAsia="仿宋" w:cs="Times New Roman"/>
          <w:bCs/>
          <w:sz w:val="24"/>
          <w:szCs w:val="24"/>
        </w:rPr>
        <w:t>2</w:t>
      </w:r>
      <w:r>
        <w:rPr>
          <w:rFonts w:hint="eastAsia" w:ascii="仿宋" w:hAnsi="仿宋" w:eastAsia="仿宋" w:cs="Times New Roman"/>
          <w:bCs/>
          <w:sz w:val="24"/>
          <w:szCs w:val="24"/>
        </w:rPr>
        <w:t>名骨干团队人员的，得</w:t>
      </w:r>
      <w:r>
        <w:rPr>
          <w:rFonts w:ascii="仿宋" w:hAnsi="仿宋" w:eastAsia="仿宋" w:cs="Times New Roman"/>
          <w:bCs/>
          <w:sz w:val="24"/>
          <w:szCs w:val="24"/>
        </w:rPr>
        <w:t>1</w:t>
      </w:r>
      <w:r>
        <w:rPr>
          <w:rFonts w:hint="eastAsia" w:ascii="仿宋" w:hAnsi="仿宋" w:eastAsia="仿宋" w:cs="Times New Roman"/>
          <w:bCs/>
          <w:sz w:val="24"/>
          <w:szCs w:val="24"/>
        </w:rPr>
        <w:t>分，</w:t>
      </w:r>
      <w:r>
        <w:rPr>
          <w:rFonts w:ascii="仿宋" w:hAnsi="仿宋" w:eastAsia="仿宋" w:cs="Times New Roman"/>
          <w:bCs/>
          <w:sz w:val="24"/>
          <w:szCs w:val="24"/>
        </w:rPr>
        <w:t>须提供</w:t>
      </w:r>
      <w:r>
        <w:rPr>
          <w:rFonts w:hint="eastAsia" w:ascii="仿宋" w:hAnsi="仿宋" w:eastAsia="仿宋" w:cs="Times New Roman"/>
          <w:bCs/>
          <w:sz w:val="24"/>
          <w:szCs w:val="24"/>
        </w:rPr>
        <w:t>人员名单和基本信息，否则不得分。</w:t>
      </w:r>
    </w:p>
    <w:p w14:paraId="37C33C5D">
      <w:pPr>
        <w:keepNext w:val="0"/>
        <w:keepLines w:val="0"/>
        <w:pageBreakBefore w:val="0"/>
        <w:widowControl w:val="0"/>
        <w:kinsoku/>
        <w:wordWrap/>
        <w:overflowPunct/>
        <w:topLinePunct w:val="0"/>
        <w:autoSpaceDE/>
        <w:autoSpaceDN/>
        <w:bidi w:val="0"/>
        <w:adjustRightInd/>
        <w:spacing w:line="500" w:lineRule="exact"/>
        <w:jc w:val="left"/>
        <w:textAlignment w:val="auto"/>
        <w:rPr>
          <w:rFonts w:ascii="仿宋" w:hAnsi="仿宋" w:eastAsia="仿宋" w:cs="Times New Roman"/>
          <w:b/>
          <w:sz w:val="24"/>
          <w:szCs w:val="24"/>
        </w:rPr>
      </w:pPr>
      <w:r>
        <w:rPr>
          <w:rFonts w:hint="eastAsia" w:ascii="仿宋" w:hAnsi="仿宋" w:eastAsia="仿宋" w:cs="Times New Roman"/>
          <w:b/>
          <w:sz w:val="24"/>
          <w:szCs w:val="24"/>
        </w:rPr>
        <w:t xml:space="preserve"> </w:t>
      </w:r>
      <w:r>
        <w:rPr>
          <w:rFonts w:ascii="仿宋" w:hAnsi="仿宋" w:eastAsia="仿宋" w:cs="Times New Roman"/>
          <w:b/>
          <w:sz w:val="24"/>
          <w:szCs w:val="24"/>
        </w:rPr>
        <w:t xml:space="preserve">  </w:t>
      </w:r>
      <w:r>
        <w:rPr>
          <w:rFonts w:hint="eastAsia" w:ascii="仿宋" w:hAnsi="仿宋" w:eastAsia="仿宋" w:cs="Times New Roman"/>
          <w:b/>
          <w:sz w:val="24"/>
          <w:szCs w:val="24"/>
        </w:rPr>
        <w:t>注：以上须提供学历证书、劳动合同等相关证明材料及投标单位近</w:t>
      </w:r>
      <w:r>
        <w:rPr>
          <w:rFonts w:ascii="仿宋" w:hAnsi="仿宋" w:eastAsia="仿宋" w:cs="Times New Roman"/>
          <w:b/>
          <w:sz w:val="24"/>
          <w:szCs w:val="24"/>
        </w:rPr>
        <w:t>3</w:t>
      </w:r>
      <w:r>
        <w:rPr>
          <w:rFonts w:hint="eastAsia" w:ascii="仿宋" w:hAnsi="仿宋" w:eastAsia="仿宋" w:cs="Times New Roman"/>
          <w:b/>
          <w:sz w:val="24"/>
          <w:szCs w:val="24"/>
        </w:rPr>
        <w:t>个月为其</w:t>
      </w:r>
      <w:r>
        <w:rPr>
          <w:rFonts w:ascii="仿宋" w:hAnsi="仿宋" w:eastAsia="仿宋" w:cs="Times New Roman"/>
          <w:b/>
          <w:sz w:val="24"/>
          <w:szCs w:val="24"/>
        </w:rPr>
        <w:t>缴纳的</w:t>
      </w:r>
      <w:r>
        <w:rPr>
          <w:rFonts w:hint="eastAsia" w:ascii="仿宋" w:hAnsi="仿宋" w:eastAsia="仿宋" w:cs="Times New Roman"/>
          <w:b/>
          <w:sz w:val="24"/>
          <w:szCs w:val="24"/>
        </w:rPr>
        <w:t>社保证明复印件，否则不得分。</w:t>
      </w:r>
    </w:p>
    <w:p w14:paraId="72C8A6DB">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b/>
          <w:sz w:val="24"/>
          <w:szCs w:val="24"/>
        </w:rPr>
      </w:pPr>
      <w:r>
        <w:rPr>
          <w:rFonts w:hint="eastAsia" w:ascii="楷体_GB2312" w:hAnsi="仿宋" w:eastAsia="楷体_GB2312" w:cs="Times New Roman"/>
          <w:bCs/>
          <w:sz w:val="24"/>
          <w:szCs w:val="24"/>
        </w:rPr>
        <w:t>（</w:t>
      </w:r>
      <w:r>
        <w:rPr>
          <w:rFonts w:hint="eastAsia" w:ascii="楷体_GB2312" w:hAnsi="仿宋" w:eastAsia="楷体_GB2312" w:cs="Times New Roman"/>
          <w:bCs/>
          <w:sz w:val="24"/>
          <w:szCs w:val="24"/>
          <w:lang w:val="en-US" w:eastAsia="zh-CN"/>
        </w:rPr>
        <w:t>八</w:t>
      </w:r>
      <w:r>
        <w:rPr>
          <w:rFonts w:hint="eastAsia" w:ascii="楷体_GB2312" w:hAnsi="仿宋" w:eastAsia="楷体_GB2312" w:cs="Times New Roman"/>
          <w:bCs/>
          <w:sz w:val="24"/>
          <w:szCs w:val="24"/>
        </w:rPr>
        <w:t>）</w:t>
      </w:r>
      <w:r>
        <w:rPr>
          <w:rFonts w:hint="eastAsia" w:ascii="楷体_GB2312" w:hAnsi="仿宋" w:eastAsia="楷体_GB2312" w:cs="Times New Roman"/>
          <w:sz w:val="24"/>
          <w:szCs w:val="24"/>
        </w:rPr>
        <w:t>应急处理实施方案（</w:t>
      </w:r>
      <w:r>
        <w:rPr>
          <w:rFonts w:ascii="楷体_GB2312" w:hAnsi="仿宋" w:eastAsia="楷体_GB2312" w:cs="Times New Roman"/>
          <w:sz w:val="24"/>
          <w:szCs w:val="24"/>
        </w:rPr>
        <w:t>14</w:t>
      </w:r>
      <w:r>
        <w:rPr>
          <w:rFonts w:hint="eastAsia" w:ascii="楷体_GB2312" w:hAnsi="仿宋" w:eastAsia="楷体_GB2312" w:cs="Times New Roman"/>
          <w:sz w:val="24"/>
          <w:szCs w:val="24"/>
        </w:rPr>
        <w:t>分）</w:t>
      </w:r>
    </w:p>
    <w:p w14:paraId="48DD6984">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应急处理实施方案（应急保供能力、应急预案、应急保供方案等），主要考察应急工作保障团队、物资采购渠道、储备情况、配送能力、应急联系方式（24小时待命），食品流通环节过程中出现问题的应急预案，受暴雨、冰灾、雪灾等影响期间提供的应急保供方案。</w:t>
      </w:r>
    </w:p>
    <w:p w14:paraId="16B61666">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仿宋" w:hAnsi="仿宋" w:eastAsia="仿宋" w:cs="Times New Roman"/>
          <w:sz w:val="24"/>
          <w:szCs w:val="24"/>
        </w:rPr>
      </w:pPr>
      <w:r>
        <w:rPr>
          <w:rFonts w:hint="eastAsia" w:ascii="仿宋" w:hAnsi="仿宋" w:eastAsia="仿宋" w:cs="Times New Roman"/>
          <w:sz w:val="24"/>
          <w:szCs w:val="24"/>
        </w:rPr>
        <w:t>应急处理实施方案完善、细致，操作性强的得</w:t>
      </w:r>
      <w:r>
        <w:rPr>
          <w:rFonts w:ascii="仿宋" w:hAnsi="仿宋" w:eastAsia="仿宋" w:cs="Times New Roman"/>
          <w:sz w:val="24"/>
          <w:szCs w:val="24"/>
        </w:rPr>
        <w:t>14</w:t>
      </w:r>
      <w:r>
        <w:rPr>
          <w:rFonts w:hint="eastAsia" w:ascii="仿宋" w:hAnsi="仿宋" w:eastAsia="仿宋" w:cs="Times New Roman"/>
          <w:sz w:val="24"/>
          <w:szCs w:val="24"/>
        </w:rPr>
        <w:t>分；应急处理实施方案较完善、细致，操作性较强的得</w:t>
      </w:r>
      <w:r>
        <w:rPr>
          <w:rFonts w:hint="eastAsia" w:ascii="仿宋" w:hAnsi="仿宋" w:eastAsia="仿宋" w:cs="Times New Roman"/>
          <w:sz w:val="24"/>
          <w:szCs w:val="24"/>
          <w:lang w:val="en-US" w:eastAsia="zh-CN"/>
        </w:rPr>
        <w:t>10</w:t>
      </w:r>
      <w:r>
        <w:rPr>
          <w:rFonts w:hint="eastAsia" w:ascii="仿宋" w:hAnsi="仿宋" w:eastAsia="仿宋" w:cs="Times New Roman"/>
          <w:sz w:val="24"/>
          <w:szCs w:val="24"/>
        </w:rPr>
        <w:t>分；应急处理实施方案</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w:t>
      </w:r>
      <w:r>
        <w:rPr>
          <w:rFonts w:hint="eastAsia" w:ascii="仿宋" w:hAnsi="仿宋" w:eastAsia="仿宋" w:cs="Times New Roman"/>
          <w:sz w:val="24"/>
          <w:szCs w:val="24"/>
          <w:lang w:val="en-US" w:eastAsia="zh-CN"/>
        </w:rPr>
        <w:t>有一定</w:t>
      </w:r>
      <w:r>
        <w:rPr>
          <w:rFonts w:hint="eastAsia" w:ascii="仿宋" w:hAnsi="仿宋" w:eastAsia="仿宋" w:cs="Times New Roman"/>
          <w:sz w:val="24"/>
          <w:szCs w:val="24"/>
        </w:rPr>
        <w:t>操作性的得</w:t>
      </w:r>
      <w:r>
        <w:rPr>
          <w:rFonts w:hint="eastAsia" w:ascii="仿宋" w:hAnsi="仿宋" w:eastAsia="仿宋" w:cs="Times New Roman"/>
          <w:sz w:val="24"/>
          <w:szCs w:val="24"/>
          <w:lang w:val="en-US" w:eastAsia="zh-CN"/>
        </w:rPr>
        <w:t>7</w:t>
      </w:r>
      <w:r>
        <w:rPr>
          <w:rFonts w:hint="eastAsia" w:ascii="仿宋" w:hAnsi="仿宋" w:eastAsia="仿宋" w:cs="Times New Roman"/>
          <w:sz w:val="24"/>
          <w:szCs w:val="24"/>
        </w:rPr>
        <w:t>分；应急处理实施方案内容</w:t>
      </w:r>
      <w:r>
        <w:rPr>
          <w:rFonts w:hint="eastAsia" w:ascii="仿宋" w:hAnsi="仿宋" w:eastAsia="仿宋" w:cs="Times New Roman"/>
          <w:sz w:val="24"/>
          <w:szCs w:val="24"/>
          <w:lang w:val="en-US" w:eastAsia="zh-CN"/>
        </w:rPr>
        <w:t>较少</w:t>
      </w:r>
      <w:r>
        <w:rPr>
          <w:rFonts w:hint="eastAsia" w:ascii="仿宋" w:hAnsi="仿宋" w:eastAsia="仿宋" w:cs="Times New Roman"/>
          <w:sz w:val="24"/>
          <w:szCs w:val="24"/>
        </w:rPr>
        <w:t>，操作性较</w:t>
      </w:r>
      <w:r>
        <w:rPr>
          <w:rFonts w:hint="eastAsia" w:ascii="仿宋" w:hAnsi="仿宋" w:eastAsia="仿宋" w:cs="Times New Roman"/>
          <w:sz w:val="24"/>
          <w:szCs w:val="24"/>
          <w:lang w:val="en-US" w:eastAsia="zh-CN"/>
        </w:rPr>
        <w:t>弱</w:t>
      </w:r>
      <w:r>
        <w:rPr>
          <w:rFonts w:hint="eastAsia" w:ascii="仿宋" w:hAnsi="仿宋" w:eastAsia="仿宋" w:cs="Times New Roman"/>
          <w:sz w:val="24"/>
          <w:szCs w:val="24"/>
        </w:rPr>
        <w:t>的得</w:t>
      </w:r>
      <w:r>
        <w:rPr>
          <w:rFonts w:hint="eastAsia" w:ascii="仿宋" w:hAnsi="仿宋" w:eastAsia="仿宋" w:cs="Times New Roman"/>
          <w:sz w:val="24"/>
          <w:szCs w:val="24"/>
          <w:lang w:val="en-US" w:eastAsia="zh-CN"/>
        </w:rPr>
        <w:t>4</w:t>
      </w:r>
      <w:r>
        <w:rPr>
          <w:rFonts w:hint="eastAsia" w:ascii="仿宋" w:hAnsi="仿宋" w:eastAsia="仿宋" w:cs="Times New Roman"/>
          <w:sz w:val="24"/>
          <w:szCs w:val="24"/>
        </w:rPr>
        <w:t>分；</w:t>
      </w:r>
      <w:r>
        <w:rPr>
          <w:rFonts w:hint="eastAsia" w:ascii="仿宋" w:hAnsi="仿宋" w:eastAsia="仿宋" w:cs="Times New Roman"/>
          <w:sz w:val="24"/>
          <w:szCs w:val="24"/>
          <w:lang w:eastAsia="zh-CN"/>
        </w:rPr>
        <w:t>方案较差、</w:t>
      </w:r>
      <w:r>
        <w:rPr>
          <w:rFonts w:hint="eastAsia" w:ascii="仿宋" w:hAnsi="仿宋" w:eastAsia="仿宋" w:cs="Times New Roman"/>
          <w:sz w:val="24"/>
          <w:szCs w:val="24"/>
          <w:lang w:val="en-US" w:eastAsia="zh-CN"/>
        </w:rPr>
        <w:t>缺乏实质性内容，</w:t>
      </w:r>
      <w:r>
        <w:rPr>
          <w:rFonts w:hint="eastAsia" w:ascii="仿宋" w:hAnsi="仿宋" w:eastAsia="仿宋" w:cs="Times New Roman"/>
          <w:sz w:val="24"/>
          <w:szCs w:val="24"/>
          <w:lang w:eastAsia="zh-CN"/>
        </w:rPr>
        <w:t>难以实施</w:t>
      </w:r>
      <w:r>
        <w:rPr>
          <w:rFonts w:hint="eastAsia" w:ascii="仿宋" w:hAnsi="仿宋" w:eastAsia="仿宋" w:cs="Times New Roman"/>
          <w:sz w:val="24"/>
          <w:szCs w:val="24"/>
          <w:lang w:val="en-US" w:eastAsia="zh-CN"/>
        </w:rPr>
        <w:t>操作</w:t>
      </w:r>
      <w:r>
        <w:rPr>
          <w:rFonts w:hint="eastAsia" w:ascii="仿宋" w:hAnsi="仿宋" w:eastAsia="仿宋" w:cs="Times New Roman"/>
          <w:sz w:val="24"/>
          <w:szCs w:val="24"/>
          <w:lang w:eastAsia="zh-CN"/>
        </w:rPr>
        <w:t>的，得1分；</w:t>
      </w:r>
      <w:r>
        <w:rPr>
          <w:rFonts w:hint="eastAsia" w:ascii="仿宋" w:hAnsi="仿宋" w:eastAsia="仿宋" w:cs="Times New Roman"/>
          <w:sz w:val="24"/>
          <w:szCs w:val="24"/>
        </w:rPr>
        <w:t>不提供不得分。</w:t>
      </w:r>
    </w:p>
    <w:p w14:paraId="6285FDD3">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楷体_GB2312" w:hAnsi="仿宋" w:eastAsia="楷体_GB2312" w:cs="Times New Roman"/>
          <w:sz w:val="24"/>
          <w:szCs w:val="24"/>
        </w:rPr>
      </w:pPr>
      <w:r>
        <w:rPr>
          <w:rFonts w:hint="eastAsia" w:ascii="楷体_GB2312" w:hAnsi="仿宋" w:eastAsia="楷体_GB2312" w:cs="Times New Roman"/>
          <w:sz w:val="24"/>
          <w:szCs w:val="24"/>
        </w:rPr>
        <w:t>（</w:t>
      </w:r>
      <w:r>
        <w:rPr>
          <w:rFonts w:hint="eastAsia" w:ascii="楷体_GB2312" w:hAnsi="仿宋" w:eastAsia="楷体_GB2312" w:cs="Times New Roman"/>
          <w:sz w:val="24"/>
          <w:szCs w:val="24"/>
          <w:lang w:val="en-US" w:eastAsia="zh-CN"/>
        </w:rPr>
        <w:t>九</w:t>
      </w:r>
      <w:r>
        <w:rPr>
          <w:rFonts w:hint="eastAsia" w:ascii="楷体_GB2312" w:hAnsi="仿宋" w:eastAsia="楷体_GB2312" w:cs="Times New Roman"/>
          <w:sz w:val="24"/>
          <w:szCs w:val="24"/>
        </w:rPr>
        <w:t>）服务承诺和优惠措施（3分）</w:t>
      </w:r>
    </w:p>
    <w:p w14:paraId="726AED14">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提供服务承诺和优惠措施，包括但不限于：保证抽检时无不合格项、配送时效性承诺、加急配送、免费（临超期）退换货、赔偿、质量保证承诺、给学校提供的优惠措施等。</w:t>
      </w:r>
    </w:p>
    <w:p w14:paraId="0460F58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仿宋" w:hAnsi="仿宋" w:eastAsia="仿宋" w:cs="Times New Roman"/>
          <w:sz w:val="24"/>
          <w:szCs w:val="24"/>
        </w:rPr>
      </w:pPr>
      <w:r>
        <w:rPr>
          <w:rFonts w:hint="eastAsia" w:ascii="仿宋" w:hAnsi="仿宋" w:eastAsia="仿宋" w:cs="Times New Roman"/>
          <w:sz w:val="24"/>
          <w:szCs w:val="24"/>
        </w:rPr>
        <w:t>服务承诺完善详细，优惠措施合理，操作性强的得</w:t>
      </w:r>
      <w:r>
        <w:rPr>
          <w:rFonts w:ascii="仿宋" w:hAnsi="仿宋" w:eastAsia="仿宋" w:cs="Times New Roman"/>
          <w:sz w:val="24"/>
          <w:szCs w:val="24"/>
        </w:rPr>
        <w:t>3</w:t>
      </w:r>
      <w:r>
        <w:rPr>
          <w:rFonts w:hint="eastAsia" w:ascii="仿宋" w:hAnsi="仿宋" w:eastAsia="仿宋" w:cs="Times New Roman"/>
          <w:sz w:val="24"/>
          <w:szCs w:val="24"/>
        </w:rPr>
        <w:t>分；服务承诺完善较详细，优惠措施较合理，操作性较强的得2分；服务承诺</w:t>
      </w:r>
      <w:r>
        <w:rPr>
          <w:rFonts w:hint="eastAsia" w:ascii="仿宋" w:hAnsi="仿宋" w:eastAsia="仿宋" w:cs="Times New Roman"/>
          <w:sz w:val="24"/>
          <w:szCs w:val="24"/>
          <w:lang w:val="en-US" w:eastAsia="zh-CN"/>
        </w:rPr>
        <w:t>简单</w:t>
      </w:r>
      <w:r>
        <w:rPr>
          <w:rFonts w:hint="eastAsia" w:ascii="仿宋" w:hAnsi="仿宋" w:eastAsia="仿宋" w:cs="Times New Roman"/>
          <w:sz w:val="24"/>
          <w:szCs w:val="24"/>
        </w:rPr>
        <w:t>，优惠措施</w:t>
      </w:r>
      <w:r>
        <w:rPr>
          <w:rFonts w:hint="eastAsia" w:ascii="仿宋" w:hAnsi="仿宋" w:eastAsia="仿宋" w:cs="Times New Roman"/>
          <w:sz w:val="24"/>
          <w:szCs w:val="24"/>
          <w:lang w:val="en-US" w:eastAsia="zh-CN"/>
        </w:rPr>
        <w:t>力度不强</w:t>
      </w:r>
      <w:r>
        <w:rPr>
          <w:rFonts w:hint="eastAsia" w:ascii="仿宋" w:hAnsi="仿宋" w:eastAsia="仿宋" w:cs="Times New Roman"/>
          <w:sz w:val="24"/>
          <w:szCs w:val="24"/>
        </w:rPr>
        <w:t>，操作性</w:t>
      </w:r>
      <w:r>
        <w:rPr>
          <w:rFonts w:hint="eastAsia" w:ascii="仿宋" w:hAnsi="仿宋" w:eastAsia="仿宋" w:cs="Times New Roman"/>
          <w:sz w:val="24"/>
          <w:szCs w:val="24"/>
          <w:lang w:val="en-US" w:eastAsia="zh-CN"/>
        </w:rPr>
        <w:t>较弱</w:t>
      </w:r>
      <w:r>
        <w:rPr>
          <w:rFonts w:hint="eastAsia" w:ascii="仿宋" w:hAnsi="仿宋" w:eastAsia="仿宋" w:cs="Times New Roman"/>
          <w:sz w:val="24"/>
          <w:szCs w:val="24"/>
        </w:rPr>
        <w:t>的得1分</w:t>
      </w:r>
      <w:r>
        <w:rPr>
          <w:rFonts w:hint="eastAsia" w:ascii="仿宋" w:hAnsi="仿宋" w:eastAsia="仿宋" w:cs="Times New Roman"/>
          <w:sz w:val="24"/>
          <w:szCs w:val="24"/>
          <w:lang w:eastAsia="zh-CN"/>
        </w:rPr>
        <w:t>；</w:t>
      </w:r>
      <w:r>
        <w:rPr>
          <w:rFonts w:hint="eastAsia" w:ascii="仿宋" w:hAnsi="仿宋" w:eastAsia="仿宋" w:cs="Times New Roman"/>
          <w:sz w:val="24"/>
          <w:szCs w:val="24"/>
        </w:rPr>
        <w:t>不提供不得分。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655703-851B-4BFB-8AE8-A8D33C4C10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47722723-6685-4E65-AB70-EF9A0C8B456A}"/>
  </w:font>
  <w:font w:name="方正小标宋_GBK">
    <w:panose1 w:val="02000000000000000000"/>
    <w:charset w:val="86"/>
    <w:family w:val="script"/>
    <w:pitch w:val="default"/>
    <w:sig w:usb0="A00002BF" w:usb1="38CF7CFA" w:usb2="00082016" w:usb3="00000000" w:csb0="00040001" w:csb1="00000000"/>
    <w:embedRegular r:id="rId3" w:fontKey="{10FDCBE9-6591-46E6-91E8-11D06A7B3161}"/>
  </w:font>
  <w:font w:name="仿宋">
    <w:panose1 w:val="02010609060101010101"/>
    <w:charset w:val="86"/>
    <w:family w:val="modern"/>
    <w:pitch w:val="default"/>
    <w:sig w:usb0="800002BF" w:usb1="38CF7CFA" w:usb2="00000016" w:usb3="00000000" w:csb0="00040001" w:csb1="00000000"/>
    <w:embedRegular r:id="rId4" w:fontKey="{A2F02464-72D0-4A20-95BC-AB9FFCDECA03}"/>
  </w:font>
  <w:font w:name="楷体_GB2312">
    <w:altName w:val="楷体"/>
    <w:panose1 w:val="02010609030101010101"/>
    <w:charset w:val="86"/>
    <w:family w:val="modern"/>
    <w:pitch w:val="default"/>
    <w:sig w:usb0="00000000" w:usb1="00000000" w:usb2="00000010" w:usb3="00000000" w:csb0="00040000" w:csb1="00000000"/>
    <w:embedRegular r:id="rId5" w:fontKey="{5D5D47B5-BBFC-4FD5-B0CB-E0128555922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4271694"/>
      <w:docPartObj>
        <w:docPartGallery w:val="autotext"/>
      </w:docPartObj>
    </w:sdtPr>
    <w:sdtContent>
      <w:p w14:paraId="0DCAF5AA">
        <w:pPr>
          <w:pStyle w:val="3"/>
          <w:jc w:val="center"/>
        </w:pPr>
        <w:r>
          <w:fldChar w:fldCharType="begin"/>
        </w:r>
        <w:r>
          <w:instrText xml:space="preserve">PAGE   \* MERGEFORMAT</w:instrText>
        </w:r>
        <w:r>
          <w:fldChar w:fldCharType="separate"/>
        </w:r>
        <w:r>
          <w:rPr>
            <w:lang w:val="zh-CN"/>
          </w:rPr>
          <w:t>2</w:t>
        </w:r>
        <w:r>
          <w:fldChar w:fldCharType="end"/>
        </w:r>
      </w:p>
    </w:sdtContent>
  </w:sdt>
  <w:p w14:paraId="0AC7DC63">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7E9"/>
    <w:rsid w:val="000F6B60"/>
    <w:rsid w:val="001439E0"/>
    <w:rsid w:val="001552FD"/>
    <w:rsid w:val="00185FF5"/>
    <w:rsid w:val="001C2249"/>
    <w:rsid w:val="00225F95"/>
    <w:rsid w:val="002E236A"/>
    <w:rsid w:val="00337BB4"/>
    <w:rsid w:val="003F3FFF"/>
    <w:rsid w:val="00464FAD"/>
    <w:rsid w:val="0052570F"/>
    <w:rsid w:val="00596F95"/>
    <w:rsid w:val="00700A84"/>
    <w:rsid w:val="00787FF5"/>
    <w:rsid w:val="007D43D6"/>
    <w:rsid w:val="00823274"/>
    <w:rsid w:val="00845D5E"/>
    <w:rsid w:val="00853F4E"/>
    <w:rsid w:val="00A552E4"/>
    <w:rsid w:val="00AC05BF"/>
    <w:rsid w:val="00B4622C"/>
    <w:rsid w:val="00B600CA"/>
    <w:rsid w:val="00BA0EAA"/>
    <w:rsid w:val="00BA4F58"/>
    <w:rsid w:val="00BC7E03"/>
    <w:rsid w:val="00C36DC9"/>
    <w:rsid w:val="00C76BDA"/>
    <w:rsid w:val="00D84DCD"/>
    <w:rsid w:val="00E647E9"/>
    <w:rsid w:val="00EA3038"/>
    <w:rsid w:val="00EC61D4"/>
    <w:rsid w:val="00F12F35"/>
    <w:rsid w:val="00F5629A"/>
    <w:rsid w:val="00F91618"/>
    <w:rsid w:val="00FD3371"/>
    <w:rsid w:val="010F1DA1"/>
    <w:rsid w:val="01CA5CC8"/>
    <w:rsid w:val="01D34903"/>
    <w:rsid w:val="020C1A10"/>
    <w:rsid w:val="03435D32"/>
    <w:rsid w:val="03C95A0C"/>
    <w:rsid w:val="03D472D2"/>
    <w:rsid w:val="04DE24DF"/>
    <w:rsid w:val="04E86B91"/>
    <w:rsid w:val="05E94281"/>
    <w:rsid w:val="060F0BDE"/>
    <w:rsid w:val="07F2525B"/>
    <w:rsid w:val="089D134B"/>
    <w:rsid w:val="08A62C57"/>
    <w:rsid w:val="09587F85"/>
    <w:rsid w:val="0A007F88"/>
    <w:rsid w:val="0A131415"/>
    <w:rsid w:val="0AA317D5"/>
    <w:rsid w:val="0ACA3EA7"/>
    <w:rsid w:val="0AE54012"/>
    <w:rsid w:val="0B6E1EE8"/>
    <w:rsid w:val="0C5839BC"/>
    <w:rsid w:val="0C882A07"/>
    <w:rsid w:val="0D5C1B13"/>
    <w:rsid w:val="0DBD5052"/>
    <w:rsid w:val="0E6B4EB5"/>
    <w:rsid w:val="0EAA65C4"/>
    <w:rsid w:val="0EE87BB3"/>
    <w:rsid w:val="0F70730C"/>
    <w:rsid w:val="0F87344A"/>
    <w:rsid w:val="102130A2"/>
    <w:rsid w:val="104A448F"/>
    <w:rsid w:val="10A43A5A"/>
    <w:rsid w:val="10C61D50"/>
    <w:rsid w:val="113C67BA"/>
    <w:rsid w:val="11BF3ECF"/>
    <w:rsid w:val="11F121C0"/>
    <w:rsid w:val="13441845"/>
    <w:rsid w:val="13631AD8"/>
    <w:rsid w:val="138612CC"/>
    <w:rsid w:val="171001C9"/>
    <w:rsid w:val="18567E5D"/>
    <w:rsid w:val="19882298"/>
    <w:rsid w:val="19AE60DB"/>
    <w:rsid w:val="19B149ED"/>
    <w:rsid w:val="19CD2645"/>
    <w:rsid w:val="1AAF4159"/>
    <w:rsid w:val="1B530C83"/>
    <w:rsid w:val="1B560987"/>
    <w:rsid w:val="1B5C3B9F"/>
    <w:rsid w:val="1BBD7B09"/>
    <w:rsid w:val="1BBE2F3B"/>
    <w:rsid w:val="1BCC18A5"/>
    <w:rsid w:val="1CCF5E36"/>
    <w:rsid w:val="1CF93FE7"/>
    <w:rsid w:val="1D1207F7"/>
    <w:rsid w:val="1D2147FC"/>
    <w:rsid w:val="1DCA0DA4"/>
    <w:rsid w:val="1EC33DEB"/>
    <w:rsid w:val="1EE74B1C"/>
    <w:rsid w:val="1FEF01FC"/>
    <w:rsid w:val="1FEF2DAA"/>
    <w:rsid w:val="202C71E2"/>
    <w:rsid w:val="21851C25"/>
    <w:rsid w:val="222D60D3"/>
    <w:rsid w:val="22C2716D"/>
    <w:rsid w:val="22E37294"/>
    <w:rsid w:val="23C02B42"/>
    <w:rsid w:val="25056E93"/>
    <w:rsid w:val="25627E42"/>
    <w:rsid w:val="27CB7F20"/>
    <w:rsid w:val="28527FFC"/>
    <w:rsid w:val="298567F4"/>
    <w:rsid w:val="2A06209F"/>
    <w:rsid w:val="2A2E29E8"/>
    <w:rsid w:val="2A513D78"/>
    <w:rsid w:val="2A6735A4"/>
    <w:rsid w:val="2C436713"/>
    <w:rsid w:val="2F2C0B1D"/>
    <w:rsid w:val="31C917FE"/>
    <w:rsid w:val="32625925"/>
    <w:rsid w:val="32C723BD"/>
    <w:rsid w:val="32CD7318"/>
    <w:rsid w:val="335039CF"/>
    <w:rsid w:val="337E22EA"/>
    <w:rsid w:val="33865853"/>
    <w:rsid w:val="33AC656A"/>
    <w:rsid w:val="33D1764E"/>
    <w:rsid w:val="36291D99"/>
    <w:rsid w:val="36681BF0"/>
    <w:rsid w:val="3741225E"/>
    <w:rsid w:val="37D80CB6"/>
    <w:rsid w:val="38FC4775"/>
    <w:rsid w:val="3AF410E4"/>
    <w:rsid w:val="3B406D04"/>
    <w:rsid w:val="3C255101"/>
    <w:rsid w:val="3D3C45F6"/>
    <w:rsid w:val="3E855C22"/>
    <w:rsid w:val="3EC138D5"/>
    <w:rsid w:val="40381A73"/>
    <w:rsid w:val="404E573A"/>
    <w:rsid w:val="405F16F6"/>
    <w:rsid w:val="40622AED"/>
    <w:rsid w:val="411C5712"/>
    <w:rsid w:val="42071629"/>
    <w:rsid w:val="42A664B0"/>
    <w:rsid w:val="430D3018"/>
    <w:rsid w:val="436562E8"/>
    <w:rsid w:val="44C26AD9"/>
    <w:rsid w:val="461E76FB"/>
    <w:rsid w:val="462257C9"/>
    <w:rsid w:val="468A61CC"/>
    <w:rsid w:val="46A27178"/>
    <w:rsid w:val="47027A25"/>
    <w:rsid w:val="47220563"/>
    <w:rsid w:val="488D240B"/>
    <w:rsid w:val="49014440"/>
    <w:rsid w:val="49907B4B"/>
    <w:rsid w:val="4A423703"/>
    <w:rsid w:val="4A735B79"/>
    <w:rsid w:val="4BBA2E8C"/>
    <w:rsid w:val="4C2F0AB8"/>
    <w:rsid w:val="4C5D2125"/>
    <w:rsid w:val="4C87625C"/>
    <w:rsid w:val="4CB36184"/>
    <w:rsid w:val="4CC36B68"/>
    <w:rsid w:val="4CC76658"/>
    <w:rsid w:val="4D270177"/>
    <w:rsid w:val="4DE65DDE"/>
    <w:rsid w:val="4DFC4A28"/>
    <w:rsid w:val="4FA37501"/>
    <w:rsid w:val="4FE319FB"/>
    <w:rsid w:val="50090A37"/>
    <w:rsid w:val="52AE4144"/>
    <w:rsid w:val="53412AA8"/>
    <w:rsid w:val="535F504B"/>
    <w:rsid w:val="53B76D66"/>
    <w:rsid w:val="54B22F50"/>
    <w:rsid w:val="54D86846"/>
    <w:rsid w:val="54FE2A13"/>
    <w:rsid w:val="5562193B"/>
    <w:rsid w:val="564B5CD9"/>
    <w:rsid w:val="57812D77"/>
    <w:rsid w:val="587B73E6"/>
    <w:rsid w:val="5898534D"/>
    <w:rsid w:val="58D90FE2"/>
    <w:rsid w:val="59854300"/>
    <w:rsid w:val="5AE00B5C"/>
    <w:rsid w:val="5B306116"/>
    <w:rsid w:val="5B903C8F"/>
    <w:rsid w:val="5BB03272"/>
    <w:rsid w:val="5BC052E6"/>
    <w:rsid w:val="5CD1663A"/>
    <w:rsid w:val="5D7F67BA"/>
    <w:rsid w:val="5F264979"/>
    <w:rsid w:val="5F6D4912"/>
    <w:rsid w:val="604F618F"/>
    <w:rsid w:val="607A66CD"/>
    <w:rsid w:val="62FC6C1E"/>
    <w:rsid w:val="637644DD"/>
    <w:rsid w:val="63D7141F"/>
    <w:rsid w:val="63F22446"/>
    <w:rsid w:val="641E6A9F"/>
    <w:rsid w:val="65524737"/>
    <w:rsid w:val="65736FE7"/>
    <w:rsid w:val="66420572"/>
    <w:rsid w:val="670E090A"/>
    <w:rsid w:val="67BF0ECD"/>
    <w:rsid w:val="683F75E0"/>
    <w:rsid w:val="68E86593"/>
    <w:rsid w:val="6959664E"/>
    <w:rsid w:val="6A8A4584"/>
    <w:rsid w:val="6A9F07BD"/>
    <w:rsid w:val="6B610780"/>
    <w:rsid w:val="6BA62F28"/>
    <w:rsid w:val="6D6F091A"/>
    <w:rsid w:val="6E942715"/>
    <w:rsid w:val="6EEA2FD9"/>
    <w:rsid w:val="6F173FD1"/>
    <w:rsid w:val="71250FD6"/>
    <w:rsid w:val="716E190C"/>
    <w:rsid w:val="719303E1"/>
    <w:rsid w:val="722164A9"/>
    <w:rsid w:val="72804262"/>
    <w:rsid w:val="72CD4767"/>
    <w:rsid w:val="73626323"/>
    <w:rsid w:val="73F256D6"/>
    <w:rsid w:val="74B808D3"/>
    <w:rsid w:val="74C432FA"/>
    <w:rsid w:val="74D05C0C"/>
    <w:rsid w:val="74DD5DD9"/>
    <w:rsid w:val="759A0569"/>
    <w:rsid w:val="75F40D9B"/>
    <w:rsid w:val="767A4D0E"/>
    <w:rsid w:val="77877842"/>
    <w:rsid w:val="79773AEF"/>
    <w:rsid w:val="799B1F89"/>
    <w:rsid w:val="7A5630AB"/>
    <w:rsid w:val="7A733E62"/>
    <w:rsid w:val="7AB9648A"/>
    <w:rsid w:val="7B445194"/>
    <w:rsid w:val="7B9559F0"/>
    <w:rsid w:val="7BA06143"/>
    <w:rsid w:val="7C06244A"/>
    <w:rsid w:val="7CA4342A"/>
    <w:rsid w:val="7D383664"/>
    <w:rsid w:val="7D65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semiHidden/>
    <w:unhideWhenUsed/>
    <w:qFormat/>
    <w:uiPriority w:val="99"/>
    <w:rPr>
      <w:sz w:val="21"/>
      <w:szCs w:val="21"/>
    </w:rPr>
  </w:style>
  <w:style w:type="paragraph" w:customStyle="1" w:styleId="9">
    <w:name w:val="批注文字1"/>
    <w:basedOn w:val="1"/>
    <w:next w:val="2"/>
    <w:link w:val="10"/>
    <w:semiHidden/>
    <w:unhideWhenUsed/>
    <w:qFormat/>
    <w:uiPriority w:val="99"/>
    <w:pPr>
      <w:jc w:val="left"/>
    </w:pPr>
  </w:style>
  <w:style w:type="character" w:customStyle="1" w:styleId="10">
    <w:name w:val="批注文字 字符"/>
    <w:basedOn w:val="7"/>
    <w:link w:val="9"/>
    <w:semiHidden/>
    <w:qFormat/>
    <w:uiPriority w:val="99"/>
    <w:rPr>
      <w:kern w:val="2"/>
      <w:sz w:val="21"/>
      <w:szCs w:val="22"/>
    </w:rPr>
  </w:style>
  <w:style w:type="table" w:customStyle="1" w:styleId="11">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批注文字 字符1"/>
    <w:basedOn w:val="7"/>
    <w:link w:val="2"/>
    <w:semiHidden/>
    <w:qFormat/>
    <w:uiPriority w:val="99"/>
  </w:style>
  <w:style w:type="paragraph" w:styleId="13">
    <w:name w:val="List Paragraph"/>
    <w:basedOn w:val="1"/>
    <w:qFormat/>
    <w:uiPriority w:val="34"/>
    <w:pPr>
      <w:ind w:firstLine="420" w:firstLineChars="200"/>
    </w:pPr>
  </w:style>
  <w:style w:type="character" w:customStyle="1" w:styleId="14">
    <w:name w:val="页眉 字符"/>
    <w:basedOn w:val="7"/>
    <w:link w:val="4"/>
    <w:qFormat/>
    <w:uiPriority w:val="99"/>
    <w:rPr>
      <w:kern w:val="2"/>
      <w:sz w:val="18"/>
      <w:szCs w:val="18"/>
    </w:rPr>
  </w:style>
  <w:style w:type="character" w:customStyle="1" w:styleId="15">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9677</Words>
  <Characters>10113</Characters>
  <Lines>74</Lines>
  <Paragraphs>20</Paragraphs>
  <TotalTime>20</TotalTime>
  <ScaleCrop>false</ScaleCrop>
  <LinksUpToDate>false</LinksUpToDate>
  <CharactersWithSpaces>10135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2024-12-23T02:46:00Z</dcterms:created>
  <dc:creator>think</dc:creator>
  <cp:lastModifiedBy>楠</cp:lastModifiedBy>
  <cp:lastPrinted>2024-12-26T10:39:00Z</cp:lastPrinted>
  <dcterms:modified xsi:type="dcterms:W3CDTF">2024-12-27T11:11:22Z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E20B529D1FB94CA987666B3BDC171A56_12</vt:lpwstr>
  </property>
  <property fmtid="{D5CDD505-2E9C-101B-9397-08002B2CF9AE}" pid="4" name="KSOTemplateDocerSaveRecord">
    <vt:lpwstr>eyJoZGlkIjoiNzhjOTRhYTJlZGFiODI1NmE2NmE2NmQ1ZTRjNDczOTYiLCJ1c2VySWQiOiI5NTA1NTYxNjIifQ==</vt:lpwstr>
  </property>
</Properties>
</file>